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7F75" w14:textId="304A0493" w:rsidR="00DF0AEF" w:rsidRDefault="00880E29">
      <w:r>
        <w:t xml:space="preserve">MEMORANDUM FOR: </w:t>
      </w:r>
      <w:r>
        <w:tab/>
      </w:r>
      <w:r>
        <w:tab/>
        <w:t>Record</w:t>
      </w:r>
    </w:p>
    <w:p w14:paraId="7873E8A0" w14:textId="2A81B384" w:rsidR="00880E29" w:rsidRDefault="00880E29">
      <w:r>
        <w:t>FROM:</w:t>
      </w:r>
      <w:r>
        <w:tab/>
      </w:r>
      <w:r>
        <w:tab/>
      </w:r>
      <w:r>
        <w:tab/>
      </w:r>
      <w:r>
        <w:tab/>
        <w:t>Trustees of Trust Funds</w:t>
      </w:r>
    </w:p>
    <w:p w14:paraId="4CD08679" w14:textId="14EAECC1" w:rsidR="00880E29" w:rsidRDefault="00880E29">
      <w:r>
        <w:t>DATE:</w:t>
      </w:r>
      <w:r>
        <w:tab/>
      </w:r>
      <w:r>
        <w:tab/>
      </w:r>
      <w:r>
        <w:tab/>
      </w:r>
      <w:r>
        <w:tab/>
        <w:t>April 22, 2022</w:t>
      </w:r>
    </w:p>
    <w:p w14:paraId="13896076" w14:textId="28C89C9C" w:rsidR="00880E29" w:rsidRDefault="00880E29">
      <w:r>
        <w:t>SUBJECT:</w:t>
      </w:r>
      <w:r>
        <w:tab/>
      </w:r>
      <w:r>
        <w:tab/>
      </w:r>
      <w:r>
        <w:tab/>
        <w:t xml:space="preserve">Investment Advisor </w:t>
      </w:r>
      <w:r w:rsidR="00DC1BCD">
        <w:t>Search/Selection</w:t>
      </w:r>
      <w:r>
        <w:t xml:space="preserve"> Process – 2021-22</w:t>
      </w:r>
    </w:p>
    <w:p w14:paraId="332CDBA6" w14:textId="5C6BC132" w:rsidR="00DC1BCD" w:rsidRDefault="00DC1BCD"/>
    <w:p w14:paraId="2CDF8F4E" w14:textId="77777777" w:rsidR="00665D88" w:rsidRDefault="00665D88"/>
    <w:p w14:paraId="05A9E782" w14:textId="55054FCD" w:rsidR="00B70F5D" w:rsidRDefault="00DC1BCD" w:rsidP="00F51811">
      <w:r>
        <w:t>BACKGROUND: In early 2021, the Trustees were notified by our Investment Advisor, Peoples United Advisors, that Peoples United Bank and its subsidiaries</w:t>
      </w:r>
      <w:r w:rsidR="00544790">
        <w:t>, including our Investment Advisor</w:t>
      </w:r>
      <w:r w:rsidR="00A66869">
        <w:t>,</w:t>
      </w:r>
      <w:r w:rsidR="00544790">
        <w:t xml:space="preserve"> were being acquired by M &amp; T Bank. </w:t>
      </w:r>
      <w:r w:rsidR="00771ED4">
        <w:t>People’s Advisors had been our Investment Advisor for more than 5 years (2015-20</w:t>
      </w:r>
      <w:r w:rsidR="007041B4">
        <w:t>21</w:t>
      </w:r>
      <w:r w:rsidR="00771ED4">
        <w:t>)</w:t>
      </w:r>
      <w:r w:rsidR="007A0E58">
        <w:t xml:space="preserve"> and the upcoming change in Investment Advisors prompted the Trustees to agree that r</w:t>
      </w:r>
      <w:r w:rsidR="00771ED4">
        <w:t xml:space="preserve">evisiting/refreshing professional relationships </w:t>
      </w:r>
      <w:r w:rsidR="00BA2DE5">
        <w:t>is</w:t>
      </w:r>
      <w:r w:rsidR="00771ED4">
        <w:t xml:space="preserve"> a management/fiduciary</w:t>
      </w:r>
      <w:r w:rsidR="00BA2DE5">
        <w:t xml:space="preserve"> best</w:t>
      </w:r>
      <w:r w:rsidR="00771ED4">
        <w:t xml:space="preserve"> practice</w:t>
      </w:r>
      <w:r w:rsidR="007A0E58">
        <w:t xml:space="preserve"> and that it should be done on a </w:t>
      </w:r>
      <w:r w:rsidR="00AE1981">
        <w:t>periodic basis, with 5 years being the target.</w:t>
      </w:r>
      <w:r w:rsidR="00DB0D47">
        <w:t xml:space="preserve"> </w:t>
      </w:r>
      <w:r w:rsidR="00F51811">
        <w:t>We concluded that c</w:t>
      </w:r>
      <w:r w:rsidR="00771ED4">
        <w:t>onducting a search among selected local Investment Advisory firms</w:t>
      </w:r>
      <w:r w:rsidR="00B70F5D">
        <w:t>, including People’s Advisors,</w:t>
      </w:r>
      <w:r w:rsidR="00BA2DE5">
        <w:t xml:space="preserve"> for the </w:t>
      </w:r>
      <w:r w:rsidR="00AE1981">
        <w:t xml:space="preserve">firm that </w:t>
      </w:r>
      <w:r w:rsidR="00BA2DE5">
        <w:t xml:space="preserve">“best-fit” </w:t>
      </w:r>
      <w:r w:rsidR="00AE1981">
        <w:t xml:space="preserve">the Trustee’s requirements and investment goals </w:t>
      </w:r>
      <w:r w:rsidR="00771ED4">
        <w:t>would not add an overwhelming</w:t>
      </w:r>
      <w:r w:rsidR="00B70F5D">
        <w:t xml:space="preserve"> amount of work to that which we </w:t>
      </w:r>
      <w:r w:rsidR="00AE1981">
        <w:t>would</w:t>
      </w:r>
      <w:r w:rsidR="007041B4">
        <w:t xml:space="preserve"> </w:t>
      </w:r>
      <w:r w:rsidR="00B70F5D">
        <w:t>have to do if we stay</w:t>
      </w:r>
      <w:r w:rsidR="00AE1981">
        <w:t>ed</w:t>
      </w:r>
      <w:r w:rsidR="00B70F5D">
        <w:t xml:space="preserve"> with People’s</w:t>
      </w:r>
      <w:r w:rsidR="00BA2DE5">
        <w:t xml:space="preserve"> (and M &amp; T)</w:t>
      </w:r>
      <w:r w:rsidR="00B70F5D">
        <w:t>.</w:t>
      </w:r>
    </w:p>
    <w:p w14:paraId="62521DDF" w14:textId="5F44C8F3" w:rsidR="00B70F5D" w:rsidRDefault="007041B4" w:rsidP="00B70F5D">
      <w:pPr>
        <w:pStyle w:val="ListParagraph"/>
        <w:ind w:left="0"/>
      </w:pPr>
      <w:r>
        <w:t xml:space="preserve">Based on these conclusions, </w:t>
      </w:r>
      <w:r w:rsidR="00B70F5D">
        <w:t xml:space="preserve">the Trustees voted </w:t>
      </w:r>
      <w:r>
        <w:t xml:space="preserve">in September </w:t>
      </w:r>
      <w:r w:rsidR="00AE1981">
        <w:t xml:space="preserve">2021 </w:t>
      </w:r>
      <w:r w:rsidR="00B70F5D">
        <w:t xml:space="preserve">to prepare and </w:t>
      </w:r>
      <w:r w:rsidR="00B463CD">
        <w:t>send to six selected Investment Advisory firms a request for qualifications statements (RFQ) for providing investment advisory services to the Durham Trustees. The RFQ</w:t>
      </w:r>
      <w:r w:rsidR="001D0FFB">
        <w:t xml:space="preserve">, list of </w:t>
      </w:r>
      <w:r w:rsidR="00507886">
        <w:t xml:space="preserve">invitee’s </w:t>
      </w:r>
      <w:r w:rsidR="001D0FFB">
        <w:t>selection criteria</w:t>
      </w:r>
      <w:r w:rsidR="00B463CD">
        <w:t xml:space="preserve"> and list of selected addresse</w:t>
      </w:r>
      <w:r w:rsidR="00507886">
        <w:t>e</w:t>
      </w:r>
      <w:r w:rsidR="00B463CD">
        <w:t xml:space="preserve">s </w:t>
      </w:r>
      <w:r>
        <w:t>are</w:t>
      </w:r>
      <w:r w:rsidR="001D0FFB">
        <w:t xml:space="preserve"> at E</w:t>
      </w:r>
      <w:r w:rsidR="00B463CD">
        <w:t>nclosure</w:t>
      </w:r>
      <w:r>
        <w:t>s</w:t>
      </w:r>
      <w:r w:rsidR="00B463CD">
        <w:t xml:space="preserve"> 1</w:t>
      </w:r>
      <w:r>
        <w:t>, 2 and 3, respectively.</w:t>
      </w:r>
      <w:r w:rsidR="001D0FFB">
        <w:t xml:space="preserve"> </w:t>
      </w:r>
    </w:p>
    <w:p w14:paraId="6CDE0D28" w14:textId="3E4D52A9" w:rsidR="00A15698" w:rsidRDefault="00A15698" w:rsidP="00B70F5D">
      <w:pPr>
        <w:pStyle w:val="ListParagraph"/>
        <w:ind w:left="0"/>
      </w:pPr>
    </w:p>
    <w:p w14:paraId="3768F3F0" w14:textId="767890B4" w:rsidR="00A15698" w:rsidRDefault="00A15698" w:rsidP="00B70F5D">
      <w:pPr>
        <w:pStyle w:val="ListParagraph"/>
        <w:ind w:left="0"/>
      </w:pPr>
      <w:r>
        <w:t>SELECTION OF FINALISTS: The following dated events outline the next steps in the selection process:</w:t>
      </w:r>
    </w:p>
    <w:p w14:paraId="0A544733" w14:textId="4870407C" w:rsidR="00A15698" w:rsidRDefault="00A15698" w:rsidP="00B70F5D">
      <w:pPr>
        <w:pStyle w:val="ListParagraph"/>
        <w:ind w:left="0"/>
      </w:pPr>
    </w:p>
    <w:p w14:paraId="1566BA6E" w14:textId="11A845BC" w:rsidR="00A15698" w:rsidRDefault="00A15698" w:rsidP="00A15698">
      <w:pPr>
        <w:pStyle w:val="ListParagraph"/>
        <w:numPr>
          <w:ilvl w:val="0"/>
          <w:numId w:val="18"/>
        </w:numPr>
      </w:pPr>
      <w:r>
        <w:t>19 December 2021.  RFQ dispatched by mail to selected firms.</w:t>
      </w:r>
    </w:p>
    <w:p w14:paraId="7F87E754" w14:textId="09B57DC0" w:rsidR="00A15698" w:rsidRDefault="00A15698" w:rsidP="00A15698">
      <w:pPr>
        <w:pStyle w:val="ListParagraph"/>
        <w:numPr>
          <w:ilvl w:val="0"/>
          <w:numId w:val="18"/>
        </w:numPr>
      </w:pPr>
      <w:r>
        <w:t>2 February 2022. Trustees met in Workshop Session to open and record receipt of respondent’s submissions. It was announced that each Trustee would study and analyze each response independently in preparation for meeting to select finalists from among the submissions received.</w:t>
      </w:r>
      <w:r w:rsidR="005A629D">
        <w:t xml:space="preserve"> A sample evaluation format is at Enclosure 4.</w:t>
      </w:r>
    </w:p>
    <w:p w14:paraId="502FCC28" w14:textId="2EE464A7" w:rsidR="00A15698" w:rsidRDefault="005A629D" w:rsidP="00A15698">
      <w:pPr>
        <w:pStyle w:val="ListParagraph"/>
        <w:numPr>
          <w:ilvl w:val="0"/>
          <w:numId w:val="18"/>
        </w:numPr>
      </w:pPr>
      <w:r>
        <w:t>16 February 2022.  The Trustees met in Workshop Session to review submissions and arrive at a list of finalists. After discussion, the finalists were selected by consensus: Cambridge Trust and TD Wealth Management. The finalists were scheduled for interviews with the Trustees on 7 March 2022.</w:t>
      </w:r>
    </w:p>
    <w:p w14:paraId="6D119ECD" w14:textId="5C069B01" w:rsidR="005A629D" w:rsidRDefault="005A629D" w:rsidP="005A629D">
      <w:r>
        <w:t xml:space="preserve">SELECTION OF NEW FINANCIAL ADVISOR: The Trustees scheduled interviews with the finalists on </w:t>
      </w:r>
    </w:p>
    <w:p w14:paraId="0602614F" w14:textId="048BD894" w:rsidR="005A629D" w:rsidRDefault="005A629D" w:rsidP="005A629D">
      <w:pPr>
        <w:pStyle w:val="ListParagraph"/>
        <w:numPr>
          <w:ilvl w:val="0"/>
          <w:numId w:val="19"/>
        </w:numPr>
      </w:pPr>
      <w:r>
        <w:t xml:space="preserve">7 March 2022. The Trustees conducted interviews with the finalists. Following the </w:t>
      </w:r>
      <w:r w:rsidR="001D6BB5">
        <w:t xml:space="preserve">final </w:t>
      </w:r>
      <w:r>
        <w:t>interview, the Trustees selected Cambridge Trust as the new Financial Advisor by consensus.</w:t>
      </w:r>
    </w:p>
    <w:p w14:paraId="6481B991" w14:textId="77777777" w:rsidR="00820478" w:rsidRDefault="00820478" w:rsidP="00665D88">
      <w:pPr>
        <w:pStyle w:val="ListParagraph"/>
      </w:pPr>
    </w:p>
    <w:p w14:paraId="23CA7BB0" w14:textId="19874C16" w:rsidR="00820478" w:rsidRDefault="00820478" w:rsidP="00665D88">
      <w:pPr>
        <w:pStyle w:val="ListParagraph"/>
        <w:ind w:left="0"/>
      </w:pPr>
      <w:r>
        <w:t>TRANSFER OF ASSETS:</w:t>
      </w:r>
    </w:p>
    <w:p w14:paraId="6A80ABD7" w14:textId="015B39F1" w:rsidR="005A629D" w:rsidRDefault="005A629D" w:rsidP="00665D88">
      <w:pPr>
        <w:pStyle w:val="ListParagraph"/>
        <w:numPr>
          <w:ilvl w:val="0"/>
          <w:numId w:val="19"/>
        </w:numPr>
      </w:pPr>
      <w:r>
        <w:t>16 March 2022. The Trustees met with Cambridge Trust to initiate the transfer of accounts from People’s Bank.</w:t>
      </w:r>
    </w:p>
    <w:p w14:paraId="373125BC" w14:textId="77777777" w:rsidR="00B70F5D" w:rsidRDefault="00B70F5D" w:rsidP="00B70F5D">
      <w:pPr>
        <w:spacing w:after="0"/>
      </w:pPr>
    </w:p>
    <w:p w14:paraId="3EFC3959" w14:textId="6D30E2C5" w:rsidR="00880E29" w:rsidRDefault="00880E29"/>
    <w:p w14:paraId="07789ECC" w14:textId="700EC441" w:rsidR="00880E29" w:rsidRDefault="00E530F8" w:rsidP="00880E29">
      <w:pPr>
        <w:spacing w:after="0"/>
      </w:pPr>
      <w:r>
        <w:t xml:space="preserve"> </w:t>
      </w:r>
    </w:p>
    <w:p w14:paraId="018BF0FF" w14:textId="70A91204" w:rsidR="007041B4" w:rsidRDefault="007041B4" w:rsidP="00880E29">
      <w:pPr>
        <w:spacing w:after="0"/>
      </w:pPr>
    </w:p>
    <w:p w14:paraId="21252A2D" w14:textId="29CFD5FE" w:rsidR="007041B4" w:rsidRDefault="007041B4" w:rsidP="00880E29">
      <w:pPr>
        <w:spacing w:after="0"/>
      </w:pPr>
    </w:p>
    <w:p w14:paraId="76010951" w14:textId="2B8C8188" w:rsidR="007041B4" w:rsidRDefault="007041B4" w:rsidP="00880E29">
      <w:pPr>
        <w:spacing w:after="0"/>
      </w:pPr>
      <w:r>
        <w:lastRenderedPageBreak/>
        <w:t>Enclosure 1 – Request fo</w:t>
      </w:r>
      <w:r w:rsidR="00F43A38">
        <w:t>r Qualification Statements</w:t>
      </w:r>
    </w:p>
    <w:p w14:paraId="07B7B902" w14:textId="77777777" w:rsidR="007243DF" w:rsidRDefault="007243DF" w:rsidP="00880E29">
      <w:pPr>
        <w:spacing w:after="0"/>
      </w:pPr>
    </w:p>
    <w:p w14:paraId="3E8203F3" w14:textId="1CDE66CF" w:rsidR="00F43A38" w:rsidRDefault="00F43A38" w:rsidP="00880E29">
      <w:pPr>
        <w:spacing w:after="0"/>
      </w:pPr>
    </w:p>
    <w:tbl>
      <w:tblPr>
        <w:tblW w:w="4856" w:type="pct"/>
        <w:tblInd w:w="270" w:type="dxa"/>
        <w:tblCellMar>
          <w:left w:w="0" w:type="dxa"/>
          <w:right w:w="0" w:type="dxa"/>
        </w:tblCellMar>
        <w:tblLook w:val="04A0" w:firstRow="1" w:lastRow="0" w:firstColumn="1" w:lastColumn="0" w:noHBand="0" w:noVBand="1"/>
      </w:tblPr>
      <w:tblGrid>
        <w:gridCol w:w="4480"/>
        <w:gridCol w:w="4610"/>
      </w:tblGrid>
      <w:tr w:rsidR="00F43A38" w:rsidRPr="00E21768" w14:paraId="2AA255D0" w14:textId="77777777" w:rsidTr="009D33F5">
        <w:trPr>
          <w:trHeight w:val="1710"/>
        </w:trPr>
        <w:tc>
          <w:tcPr>
            <w:tcW w:w="2464" w:type="pct"/>
            <w:shd w:val="clear" w:color="auto" w:fill="auto"/>
          </w:tcPr>
          <w:p w14:paraId="7A2C8FF0" w14:textId="77777777" w:rsidR="00F43A38" w:rsidRPr="00E21768" w:rsidRDefault="00F43A38" w:rsidP="009D33F5">
            <w:pPr>
              <w:pStyle w:val="Header"/>
              <w:tabs>
                <w:tab w:val="right" w:pos="4480"/>
              </w:tabs>
            </w:pPr>
            <w:r w:rsidRPr="00E21768">
              <w:rPr>
                <w:noProof/>
              </w:rPr>
              <w:drawing>
                <wp:inline distT="0" distB="0" distL="0" distR="0" wp14:anchorId="71A2EE05" wp14:editId="12922876">
                  <wp:extent cx="1136650" cy="1136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r w:rsidRPr="00E21768">
              <w:rPr>
                <w:noProof/>
              </w:rPr>
              <w:tab/>
            </w:r>
          </w:p>
        </w:tc>
        <w:tc>
          <w:tcPr>
            <w:tcW w:w="2536" w:type="pct"/>
            <w:shd w:val="clear" w:color="auto" w:fill="auto"/>
            <w:vAlign w:val="center"/>
          </w:tcPr>
          <w:p w14:paraId="1A9AD497" w14:textId="77777777" w:rsidR="00F43A38" w:rsidRPr="00E21768" w:rsidRDefault="00F43A38" w:rsidP="009D33F5">
            <w:pPr>
              <w:jc w:val="right"/>
              <w:rPr>
                <w:sz w:val="24"/>
                <w:szCs w:val="24"/>
              </w:rPr>
            </w:pPr>
            <w:r w:rsidRPr="00E21768">
              <w:rPr>
                <w:sz w:val="24"/>
                <w:szCs w:val="24"/>
              </w:rPr>
              <w:t>TOWN OF DURHAM</w:t>
            </w:r>
          </w:p>
          <w:p w14:paraId="40DA55A2" w14:textId="77777777" w:rsidR="00F43A38" w:rsidRPr="00E21768" w:rsidRDefault="00F43A38" w:rsidP="009D33F5">
            <w:pPr>
              <w:jc w:val="right"/>
              <w:rPr>
                <w:sz w:val="24"/>
                <w:szCs w:val="24"/>
              </w:rPr>
            </w:pPr>
            <w:r w:rsidRPr="00E21768">
              <w:rPr>
                <w:sz w:val="24"/>
                <w:szCs w:val="24"/>
              </w:rPr>
              <w:tab/>
            </w:r>
            <w:r w:rsidRPr="00E21768">
              <w:rPr>
                <w:sz w:val="24"/>
                <w:szCs w:val="24"/>
              </w:rPr>
              <w:tab/>
              <w:t>8 Newmarket Road</w:t>
            </w:r>
          </w:p>
          <w:p w14:paraId="13140B36" w14:textId="77777777" w:rsidR="00F43A38" w:rsidRPr="00E21768" w:rsidRDefault="00F43A38" w:rsidP="009D33F5">
            <w:pPr>
              <w:jc w:val="right"/>
              <w:rPr>
                <w:sz w:val="24"/>
                <w:szCs w:val="24"/>
              </w:rPr>
            </w:pPr>
            <w:r w:rsidRPr="00E21768">
              <w:rPr>
                <w:sz w:val="24"/>
                <w:szCs w:val="24"/>
              </w:rPr>
              <w:tab/>
            </w:r>
            <w:r w:rsidRPr="00E21768">
              <w:rPr>
                <w:sz w:val="24"/>
                <w:szCs w:val="24"/>
              </w:rPr>
              <w:tab/>
              <w:t>Durham, NH 03824-2898</w:t>
            </w:r>
          </w:p>
          <w:p w14:paraId="02FEC48D" w14:textId="77777777" w:rsidR="00F43A38" w:rsidRPr="00E21768" w:rsidRDefault="00F43A38" w:rsidP="009D33F5">
            <w:pPr>
              <w:jc w:val="right"/>
              <w:rPr>
                <w:sz w:val="24"/>
                <w:szCs w:val="24"/>
              </w:rPr>
            </w:pPr>
            <w:r w:rsidRPr="00E21768">
              <w:rPr>
                <w:sz w:val="24"/>
                <w:szCs w:val="24"/>
              </w:rPr>
              <w:tab/>
            </w:r>
            <w:r w:rsidRPr="00E21768">
              <w:rPr>
                <w:sz w:val="24"/>
                <w:szCs w:val="24"/>
              </w:rPr>
              <w:tab/>
              <w:t>603.868.8064</w:t>
            </w:r>
          </w:p>
          <w:p w14:paraId="02C715F7" w14:textId="77777777" w:rsidR="00F43A38" w:rsidRPr="00E21768" w:rsidRDefault="00F43A38" w:rsidP="009D33F5">
            <w:pPr>
              <w:jc w:val="right"/>
              <w:rPr>
                <w:sz w:val="24"/>
                <w:szCs w:val="24"/>
              </w:rPr>
            </w:pPr>
            <w:r w:rsidRPr="00E21768">
              <w:rPr>
                <w:sz w:val="24"/>
                <w:szCs w:val="24"/>
              </w:rPr>
              <w:tab/>
            </w:r>
            <w:r w:rsidRPr="00E21768">
              <w:rPr>
                <w:sz w:val="24"/>
                <w:szCs w:val="24"/>
              </w:rPr>
              <w:tab/>
            </w:r>
            <w:hyperlink r:id="rId6" w:history="1">
              <w:r w:rsidRPr="00E21768">
                <w:rPr>
                  <w:rStyle w:val="Hyperlink"/>
                  <w:sz w:val="24"/>
                  <w:szCs w:val="24"/>
                </w:rPr>
                <w:t>www.ci.durham.nh.us</w:t>
              </w:r>
            </w:hyperlink>
          </w:p>
        </w:tc>
      </w:tr>
    </w:tbl>
    <w:p w14:paraId="30C2D610" w14:textId="77777777" w:rsidR="00F43A38" w:rsidRPr="00E21768" w:rsidRDefault="00F43A38" w:rsidP="00F43A38">
      <w:pPr>
        <w:rPr>
          <w:sz w:val="24"/>
          <w:szCs w:val="24"/>
        </w:rPr>
      </w:pPr>
    </w:p>
    <w:p w14:paraId="3D9AFD47" w14:textId="77777777" w:rsidR="00F43A38" w:rsidRPr="00E21768" w:rsidRDefault="00F43A38" w:rsidP="00F43A38">
      <w:pPr>
        <w:jc w:val="center"/>
        <w:rPr>
          <w:b/>
          <w:bCs/>
          <w:sz w:val="24"/>
          <w:szCs w:val="24"/>
        </w:rPr>
      </w:pPr>
      <w:r w:rsidRPr="00E21768">
        <w:rPr>
          <w:b/>
          <w:bCs/>
          <w:sz w:val="24"/>
          <w:szCs w:val="24"/>
        </w:rPr>
        <w:t>REQUEST FOR STATEMENT OF QUALIFICATIONS</w:t>
      </w:r>
    </w:p>
    <w:p w14:paraId="7DF361FC" w14:textId="4F5A4596" w:rsidR="00F43A38" w:rsidRDefault="00F43A38" w:rsidP="00F43A38">
      <w:pPr>
        <w:jc w:val="center"/>
        <w:rPr>
          <w:b/>
          <w:bCs/>
          <w:sz w:val="24"/>
          <w:szCs w:val="24"/>
        </w:rPr>
      </w:pPr>
      <w:r w:rsidRPr="00E21768">
        <w:rPr>
          <w:b/>
          <w:bCs/>
          <w:sz w:val="24"/>
          <w:szCs w:val="24"/>
        </w:rPr>
        <w:t>AS FINANCIAL ADVISOR</w:t>
      </w:r>
    </w:p>
    <w:p w14:paraId="7D02EE8A" w14:textId="77777777" w:rsidR="00F43A38" w:rsidRPr="00E21768" w:rsidRDefault="00F43A38" w:rsidP="00F43A38">
      <w:pPr>
        <w:spacing w:line="276" w:lineRule="auto"/>
        <w:rPr>
          <w:sz w:val="24"/>
          <w:szCs w:val="24"/>
        </w:rPr>
      </w:pPr>
      <w:r w:rsidRPr="00E21768">
        <w:rPr>
          <w:b/>
          <w:bCs/>
          <w:sz w:val="24"/>
          <w:szCs w:val="24"/>
        </w:rPr>
        <w:t>BACKGROUND:</w:t>
      </w:r>
    </w:p>
    <w:p w14:paraId="748616D8" w14:textId="77777777" w:rsidR="00F43A38" w:rsidRPr="00E21768" w:rsidRDefault="00F43A38" w:rsidP="00F43A38">
      <w:pPr>
        <w:spacing w:line="276" w:lineRule="auto"/>
        <w:rPr>
          <w:sz w:val="24"/>
          <w:szCs w:val="24"/>
        </w:rPr>
      </w:pPr>
      <w:r w:rsidRPr="00E21768">
        <w:rPr>
          <w:sz w:val="24"/>
          <w:szCs w:val="24"/>
        </w:rPr>
        <w:t xml:space="preserve">The Trustees of Trust Funds of the Town of Durham, NH are requesting </w:t>
      </w:r>
      <w:r w:rsidRPr="00E21768">
        <w:rPr>
          <w:sz w:val="24"/>
          <w:szCs w:val="24"/>
          <w:u w:val="single"/>
        </w:rPr>
        <w:t>Statements of Qualifications as Financial Advisors</w:t>
      </w:r>
      <w:r w:rsidRPr="00E21768">
        <w:rPr>
          <w:sz w:val="24"/>
          <w:szCs w:val="24"/>
        </w:rPr>
        <w:t xml:space="preserve"> from NH firms selected from the list of Financial Advisors on the NHDOJ website.  This process is undertaken as a “best practices” initiative to meet the Trustee’s fiduciary responsibility to ensure that the Reserve and Trust accounts in their custody are well and lawfully managed. </w:t>
      </w:r>
    </w:p>
    <w:p w14:paraId="57276044" w14:textId="77777777" w:rsidR="00F43A38" w:rsidRPr="00E21768" w:rsidRDefault="00F43A38" w:rsidP="00F43A38">
      <w:pPr>
        <w:spacing w:line="276" w:lineRule="auto"/>
        <w:rPr>
          <w:sz w:val="24"/>
          <w:szCs w:val="24"/>
        </w:rPr>
      </w:pPr>
      <w:r w:rsidRPr="00E21768">
        <w:rPr>
          <w:sz w:val="24"/>
          <w:szCs w:val="24"/>
        </w:rPr>
        <w:t>The NH statutes governing the creation and use of town reserves and trusts requires that all financial assets in town reserves and trusts be in the custody of the Trustees of Trust Funds. These statutes further require that if the funds in these instruments are invested, then the Trustees must engage a Financial Advisor to assist in the management of the investments.  During late 2014 and early 2015 the Durham Trustees, with Town Council approval, requested Qualifications Statements from selected financial firms and were successful in engaging the present Financial Advisor, who has served since mid-2015. The Trustees have decided to conduct a new selection and engagement process which will refresh our knowledge and understanding of current Financial Advisor practice as well as assure that we are following “best practice” financial management.</w:t>
      </w:r>
    </w:p>
    <w:p w14:paraId="1CA4FE07" w14:textId="77777777" w:rsidR="00F43A38" w:rsidRPr="00E21768" w:rsidRDefault="00F43A38" w:rsidP="00F43A38">
      <w:pPr>
        <w:spacing w:line="276" w:lineRule="auto"/>
        <w:rPr>
          <w:sz w:val="24"/>
          <w:szCs w:val="24"/>
        </w:rPr>
      </w:pPr>
      <w:r w:rsidRPr="00E21768">
        <w:rPr>
          <w:sz w:val="24"/>
          <w:szCs w:val="24"/>
        </w:rPr>
        <w:t xml:space="preserve">The Trustees currently have custody of approximately $4.5 million, which is invested in a diversified portfolio of equities and debt instruments. The investments in the portfolio are managed </w:t>
      </w:r>
      <w:r>
        <w:rPr>
          <w:sz w:val="24"/>
          <w:szCs w:val="24"/>
        </w:rPr>
        <w:t>under</w:t>
      </w:r>
      <w:r w:rsidRPr="00E21768">
        <w:rPr>
          <w:sz w:val="24"/>
          <w:szCs w:val="24"/>
        </w:rPr>
        <w:t xml:space="preserve"> the Trustee’s Investment Policy (attached) which will continue to provide guidance for the Investment Advisor in the future.</w:t>
      </w:r>
    </w:p>
    <w:p w14:paraId="00B2068C" w14:textId="77777777" w:rsidR="00F43A38" w:rsidRPr="00E21768" w:rsidRDefault="00F43A38" w:rsidP="00F43A38">
      <w:pPr>
        <w:spacing w:line="276" w:lineRule="auto"/>
        <w:rPr>
          <w:sz w:val="24"/>
          <w:szCs w:val="24"/>
        </w:rPr>
      </w:pPr>
      <w:r w:rsidRPr="00E21768">
        <w:rPr>
          <w:b/>
          <w:bCs/>
          <w:sz w:val="24"/>
          <w:szCs w:val="24"/>
        </w:rPr>
        <w:t>STATEMENT OF QUALIFICATIONS REQUIREMENTS</w:t>
      </w:r>
      <w:r w:rsidRPr="00E21768">
        <w:rPr>
          <w:sz w:val="24"/>
          <w:szCs w:val="24"/>
        </w:rPr>
        <w:t>:</w:t>
      </w:r>
    </w:p>
    <w:p w14:paraId="48B1DE95" w14:textId="77777777" w:rsidR="00F43A38" w:rsidRPr="00E21768" w:rsidRDefault="00F43A38" w:rsidP="00F43A38">
      <w:pPr>
        <w:spacing w:line="276" w:lineRule="auto"/>
        <w:rPr>
          <w:sz w:val="24"/>
          <w:szCs w:val="24"/>
        </w:rPr>
      </w:pPr>
      <w:r w:rsidRPr="00E21768">
        <w:rPr>
          <w:sz w:val="24"/>
          <w:szCs w:val="24"/>
        </w:rPr>
        <w:t>Qualification Statements must provide the information listed below, but respondents are welcome to submit any additional information which may be useful to the Trustees.</w:t>
      </w:r>
    </w:p>
    <w:p w14:paraId="6AB4DD08" w14:textId="77777777" w:rsidR="00F43A38" w:rsidRPr="00E21768" w:rsidRDefault="00F43A38" w:rsidP="00F43A38">
      <w:pPr>
        <w:pStyle w:val="ListParagraph"/>
        <w:numPr>
          <w:ilvl w:val="0"/>
          <w:numId w:val="2"/>
        </w:numPr>
        <w:spacing w:after="160" w:line="276" w:lineRule="auto"/>
        <w:rPr>
          <w:sz w:val="24"/>
          <w:szCs w:val="24"/>
        </w:rPr>
      </w:pPr>
      <w:r w:rsidRPr="00E21768">
        <w:rPr>
          <w:sz w:val="24"/>
          <w:szCs w:val="24"/>
        </w:rPr>
        <w:lastRenderedPageBreak/>
        <w:t>A cover letter, signed by an officer of the respondent’s firm having the authority to commit the firm to contracts, which expresses the respondent’s overall approach to municipal trustee investment accounts, and to Durham’s Trustee Account in particular.</w:t>
      </w:r>
    </w:p>
    <w:p w14:paraId="37907E95" w14:textId="77777777" w:rsidR="00F43A38" w:rsidRPr="00E21768" w:rsidRDefault="00F43A38" w:rsidP="00F43A38">
      <w:pPr>
        <w:pStyle w:val="ListParagraph"/>
        <w:numPr>
          <w:ilvl w:val="0"/>
          <w:numId w:val="2"/>
        </w:numPr>
        <w:spacing w:after="160" w:line="276" w:lineRule="auto"/>
        <w:rPr>
          <w:sz w:val="24"/>
          <w:szCs w:val="24"/>
        </w:rPr>
      </w:pPr>
      <w:r w:rsidRPr="00E21768">
        <w:rPr>
          <w:sz w:val="24"/>
          <w:szCs w:val="24"/>
        </w:rPr>
        <w:t>A detailed description of the education, qualifications, experience, past employment, and performance history of the person who will serve as the Trustees’ primary Investment Advisor (Portfolio Manager). This person is the named representative with whom the Trustees’ will consult on investments, deposits, withdrawals, and future planning.</w:t>
      </w:r>
    </w:p>
    <w:p w14:paraId="3D54EB94" w14:textId="77777777" w:rsidR="00F43A38" w:rsidRPr="00E21768" w:rsidRDefault="00F43A38" w:rsidP="00F43A38">
      <w:pPr>
        <w:pStyle w:val="ListParagraph"/>
        <w:numPr>
          <w:ilvl w:val="0"/>
          <w:numId w:val="2"/>
        </w:numPr>
        <w:spacing w:after="160" w:line="276" w:lineRule="auto"/>
        <w:rPr>
          <w:sz w:val="24"/>
          <w:szCs w:val="24"/>
        </w:rPr>
      </w:pPr>
      <w:r w:rsidRPr="00E21768">
        <w:rPr>
          <w:sz w:val="24"/>
          <w:szCs w:val="24"/>
        </w:rPr>
        <w:t xml:space="preserve">A list of at least 5 municipal or institutional clients of the respondent, providing name, address, and telephone number of a contact person for each client. </w:t>
      </w:r>
    </w:p>
    <w:p w14:paraId="7DDE513F" w14:textId="77777777" w:rsidR="00F43A38" w:rsidRPr="00E21768" w:rsidRDefault="00F43A38" w:rsidP="00F43A38">
      <w:pPr>
        <w:pStyle w:val="ListParagraph"/>
        <w:numPr>
          <w:ilvl w:val="0"/>
          <w:numId w:val="2"/>
        </w:numPr>
        <w:spacing w:after="160" w:line="276" w:lineRule="auto"/>
        <w:rPr>
          <w:sz w:val="24"/>
          <w:szCs w:val="24"/>
        </w:rPr>
      </w:pPr>
      <w:r w:rsidRPr="00E21768">
        <w:rPr>
          <w:sz w:val="24"/>
          <w:szCs w:val="24"/>
        </w:rPr>
        <w:t>A copy of the firm’s most recent NASSA Form ADV Part 2 submission to the office of the Secretary of State of NH.</w:t>
      </w:r>
    </w:p>
    <w:p w14:paraId="54DFDED6" w14:textId="77777777" w:rsidR="00F43A38" w:rsidRPr="00E21768" w:rsidRDefault="00F43A38" w:rsidP="00F43A38">
      <w:pPr>
        <w:pStyle w:val="ListParagraph"/>
        <w:numPr>
          <w:ilvl w:val="0"/>
          <w:numId w:val="2"/>
        </w:numPr>
        <w:spacing w:after="160" w:line="276" w:lineRule="auto"/>
        <w:rPr>
          <w:sz w:val="24"/>
          <w:szCs w:val="24"/>
        </w:rPr>
      </w:pPr>
      <w:r w:rsidRPr="00E21768">
        <w:rPr>
          <w:sz w:val="24"/>
          <w:szCs w:val="24"/>
        </w:rPr>
        <w:t>A list of additional references as desired by the respondent.</w:t>
      </w:r>
    </w:p>
    <w:p w14:paraId="2B74A8D0" w14:textId="77777777" w:rsidR="00F43A38" w:rsidRPr="00E21768" w:rsidRDefault="00F43A38" w:rsidP="00F43A38">
      <w:pPr>
        <w:pStyle w:val="ListParagraph"/>
        <w:numPr>
          <w:ilvl w:val="0"/>
          <w:numId w:val="2"/>
        </w:numPr>
        <w:spacing w:after="160" w:line="276" w:lineRule="auto"/>
        <w:rPr>
          <w:sz w:val="24"/>
          <w:szCs w:val="24"/>
        </w:rPr>
      </w:pPr>
      <w:r w:rsidRPr="00E21768">
        <w:rPr>
          <w:sz w:val="24"/>
          <w:szCs w:val="24"/>
        </w:rPr>
        <w:t>An assessment of the Durham Trustee’s current Investment policy and any recommendations for change.</w:t>
      </w:r>
    </w:p>
    <w:p w14:paraId="357CEAB6" w14:textId="77777777" w:rsidR="00F43A38" w:rsidRPr="00E21768" w:rsidRDefault="00F43A38" w:rsidP="00F43A38">
      <w:pPr>
        <w:pStyle w:val="ListParagraph"/>
        <w:numPr>
          <w:ilvl w:val="0"/>
          <w:numId w:val="2"/>
        </w:numPr>
        <w:spacing w:after="160" w:line="276" w:lineRule="auto"/>
        <w:rPr>
          <w:sz w:val="24"/>
          <w:szCs w:val="24"/>
        </w:rPr>
      </w:pPr>
      <w:r w:rsidRPr="00E21768">
        <w:rPr>
          <w:sz w:val="24"/>
          <w:szCs w:val="24"/>
        </w:rPr>
        <w:t>A detailed description of the fee structure under which the Investment Advisor’s firm is to be compensated for services. Disclose any forms of direct or indirect compensation which the Investment Advisor might receive in addition to the fees paid by the Trustee’s investment account.</w:t>
      </w:r>
    </w:p>
    <w:p w14:paraId="144515F8" w14:textId="77777777" w:rsidR="00F43A38" w:rsidRPr="00E21768" w:rsidRDefault="00F43A38" w:rsidP="00F43A38">
      <w:pPr>
        <w:pStyle w:val="ListParagraph"/>
        <w:numPr>
          <w:ilvl w:val="0"/>
          <w:numId w:val="2"/>
        </w:numPr>
        <w:spacing w:after="160" w:line="276" w:lineRule="auto"/>
        <w:rPr>
          <w:sz w:val="24"/>
          <w:szCs w:val="24"/>
        </w:rPr>
      </w:pPr>
      <w:r w:rsidRPr="00E21768">
        <w:rPr>
          <w:sz w:val="24"/>
          <w:szCs w:val="24"/>
        </w:rPr>
        <w:t>A detailed description of the manner in which the Investment Advisor will service the Trustees’ accounts. Additionally, the Trustees want to have a quarterly update on the portfolio’s performance in the month following the end of each quarter. This update should be in the form of a printed report illustrated with graphs and charts to clarify and summarize investment performance. A copy of a similar report for another client would be helpful.</w:t>
      </w:r>
    </w:p>
    <w:p w14:paraId="39689A5E" w14:textId="77777777" w:rsidR="00F43A38" w:rsidRPr="00E21768" w:rsidRDefault="00F43A38" w:rsidP="00F43A38">
      <w:pPr>
        <w:pStyle w:val="ListParagraph"/>
        <w:numPr>
          <w:ilvl w:val="0"/>
          <w:numId w:val="2"/>
        </w:numPr>
        <w:spacing w:after="160" w:line="276" w:lineRule="auto"/>
        <w:rPr>
          <w:sz w:val="24"/>
          <w:szCs w:val="24"/>
        </w:rPr>
      </w:pPr>
      <w:r w:rsidRPr="00E21768">
        <w:rPr>
          <w:sz w:val="24"/>
          <w:szCs w:val="24"/>
        </w:rPr>
        <w:t>The Trustees reserve the right to accept or reject any or all of the requested Statements of Qualifications in their sole discretion. The selection of finalists and a Financial Advisor will be made on the basis of the Trustees’ assessment of the which firm’s qualifications best fits the Town’s needs.</w:t>
      </w:r>
    </w:p>
    <w:p w14:paraId="7CF6E8BA" w14:textId="77777777" w:rsidR="00F43A38" w:rsidRPr="00E21768" w:rsidRDefault="00F43A38" w:rsidP="00F43A38">
      <w:pPr>
        <w:spacing w:line="276" w:lineRule="auto"/>
        <w:rPr>
          <w:sz w:val="24"/>
          <w:szCs w:val="24"/>
        </w:rPr>
      </w:pPr>
      <w:r w:rsidRPr="00E21768">
        <w:rPr>
          <w:b/>
          <w:bCs/>
          <w:sz w:val="24"/>
          <w:szCs w:val="24"/>
        </w:rPr>
        <w:t>SUBMISSION OF QUALIFICATION STATEMENTS:</w:t>
      </w:r>
    </w:p>
    <w:p w14:paraId="274B2CF2" w14:textId="77777777" w:rsidR="00F43A38" w:rsidRPr="00E21768" w:rsidRDefault="00F43A38" w:rsidP="00F43A38">
      <w:pPr>
        <w:spacing w:line="276" w:lineRule="auto"/>
        <w:rPr>
          <w:sz w:val="24"/>
          <w:szCs w:val="24"/>
        </w:rPr>
      </w:pPr>
      <w:r w:rsidRPr="00E21768">
        <w:rPr>
          <w:sz w:val="24"/>
          <w:szCs w:val="24"/>
        </w:rPr>
        <w:t>The Trustees intend to engage an Investment Advisor by April 1, 2022. To meet this goal, Statements of Qualifications must be submitted by 2:00 PM on Tuesday, February 1, 2022. The Trustees will review these submissions to form a list of up to 3 finalists who will be asked to interview with the Trustees during the week of the 14</w:t>
      </w:r>
      <w:r w:rsidRPr="00E21768">
        <w:rPr>
          <w:sz w:val="24"/>
          <w:szCs w:val="24"/>
          <w:vertAlign w:val="superscript"/>
        </w:rPr>
        <w:t>th</w:t>
      </w:r>
      <w:r w:rsidRPr="00E21768">
        <w:rPr>
          <w:sz w:val="24"/>
          <w:szCs w:val="24"/>
        </w:rPr>
        <w:t xml:space="preserve"> of March, 2022. Interview dates/times will be coordinated with respondents. After these interviews, the Trustees will invite the firm selected to be the Investment Advisor to prepare and forward an engagement letter to the Trustees for action by the 24</w:t>
      </w:r>
      <w:r w:rsidRPr="00E21768">
        <w:rPr>
          <w:sz w:val="24"/>
          <w:szCs w:val="24"/>
          <w:vertAlign w:val="superscript"/>
        </w:rPr>
        <w:t>nd</w:t>
      </w:r>
      <w:r w:rsidRPr="00E21768">
        <w:rPr>
          <w:sz w:val="24"/>
          <w:szCs w:val="24"/>
        </w:rPr>
        <w:t xml:space="preserve"> of March, 2022.</w:t>
      </w:r>
    </w:p>
    <w:p w14:paraId="0A07FFAF" w14:textId="77777777" w:rsidR="00F43A38" w:rsidRPr="00E21768" w:rsidRDefault="00F43A38" w:rsidP="00F43A38">
      <w:pPr>
        <w:spacing w:after="0" w:line="276" w:lineRule="auto"/>
        <w:rPr>
          <w:sz w:val="24"/>
          <w:szCs w:val="24"/>
        </w:rPr>
      </w:pPr>
      <w:r w:rsidRPr="00E21768">
        <w:rPr>
          <w:sz w:val="24"/>
          <w:szCs w:val="24"/>
        </w:rPr>
        <w:lastRenderedPageBreak/>
        <w:tab/>
      </w:r>
    </w:p>
    <w:p w14:paraId="6FE87FCA" w14:textId="77777777" w:rsidR="00F43A38" w:rsidRPr="00E21768" w:rsidRDefault="00F43A38" w:rsidP="00F43A38">
      <w:pPr>
        <w:spacing w:after="0" w:line="276" w:lineRule="auto"/>
        <w:rPr>
          <w:sz w:val="24"/>
          <w:szCs w:val="24"/>
        </w:rPr>
      </w:pPr>
      <w:r w:rsidRPr="00E21768">
        <w:rPr>
          <w:sz w:val="24"/>
          <w:szCs w:val="24"/>
        </w:rPr>
        <w:tab/>
        <w:t>Address for Submittals:</w:t>
      </w:r>
      <w:r w:rsidRPr="00E21768">
        <w:rPr>
          <w:sz w:val="24"/>
          <w:szCs w:val="24"/>
        </w:rPr>
        <w:tab/>
        <w:t>Trustees of Trust Funds</w:t>
      </w:r>
    </w:p>
    <w:p w14:paraId="457B5075" w14:textId="77777777" w:rsidR="00F43A38" w:rsidRPr="00E21768" w:rsidRDefault="00F43A38" w:rsidP="00F43A38">
      <w:pPr>
        <w:spacing w:after="0" w:line="276" w:lineRule="auto"/>
        <w:rPr>
          <w:sz w:val="24"/>
          <w:szCs w:val="24"/>
        </w:rPr>
      </w:pPr>
      <w:r w:rsidRPr="00E21768">
        <w:rPr>
          <w:sz w:val="24"/>
          <w:szCs w:val="24"/>
        </w:rPr>
        <w:tab/>
      </w:r>
      <w:r w:rsidRPr="00E21768">
        <w:rPr>
          <w:sz w:val="24"/>
          <w:szCs w:val="24"/>
        </w:rPr>
        <w:tab/>
      </w:r>
      <w:r w:rsidRPr="00E21768">
        <w:rPr>
          <w:sz w:val="24"/>
          <w:szCs w:val="24"/>
        </w:rPr>
        <w:tab/>
      </w:r>
      <w:r w:rsidRPr="00E21768">
        <w:rPr>
          <w:sz w:val="24"/>
          <w:szCs w:val="24"/>
        </w:rPr>
        <w:tab/>
      </w:r>
      <w:r w:rsidRPr="00E21768">
        <w:rPr>
          <w:sz w:val="24"/>
          <w:szCs w:val="24"/>
        </w:rPr>
        <w:tab/>
        <w:t>c/o Business Office</w:t>
      </w:r>
    </w:p>
    <w:p w14:paraId="26CA7DE2" w14:textId="77777777" w:rsidR="00F43A38" w:rsidRPr="00E21768" w:rsidRDefault="00F43A38" w:rsidP="00F43A38">
      <w:pPr>
        <w:spacing w:after="0" w:line="276" w:lineRule="auto"/>
        <w:rPr>
          <w:sz w:val="24"/>
          <w:szCs w:val="24"/>
        </w:rPr>
      </w:pPr>
      <w:r w:rsidRPr="00E21768">
        <w:rPr>
          <w:sz w:val="24"/>
          <w:szCs w:val="24"/>
        </w:rPr>
        <w:tab/>
      </w:r>
      <w:r w:rsidRPr="00E21768">
        <w:rPr>
          <w:sz w:val="24"/>
          <w:szCs w:val="24"/>
        </w:rPr>
        <w:tab/>
      </w:r>
      <w:r w:rsidRPr="00E21768">
        <w:rPr>
          <w:sz w:val="24"/>
          <w:szCs w:val="24"/>
        </w:rPr>
        <w:tab/>
      </w:r>
      <w:r w:rsidRPr="00E21768">
        <w:rPr>
          <w:sz w:val="24"/>
          <w:szCs w:val="24"/>
        </w:rPr>
        <w:tab/>
      </w:r>
      <w:r w:rsidRPr="00E21768">
        <w:rPr>
          <w:sz w:val="24"/>
          <w:szCs w:val="24"/>
        </w:rPr>
        <w:tab/>
        <w:t>Town of Durham</w:t>
      </w:r>
    </w:p>
    <w:p w14:paraId="414C17BA" w14:textId="77777777" w:rsidR="00F43A38" w:rsidRPr="00E21768" w:rsidRDefault="00F43A38" w:rsidP="00F43A38">
      <w:pPr>
        <w:spacing w:after="0" w:line="276" w:lineRule="auto"/>
        <w:rPr>
          <w:sz w:val="24"/>
          <w:szCs w:val="24"/>
        </w:rPr>
      </w:pPr>
      <w:r w:rsidRPr="00E21768">
        <w:rPr>
          <w:sz w:val="24"/>
          <w:szCs w:val="24"/>
        </w:rPr>
        <w:tab/>
      </w:r>
      <w:r w:rsidRPr="00E21768">
        <w:rPr>
          <w:sz w:val="24"/>
          <w:szCs w:val="24"/>
        </w:rPr>
        <w:tab/>
      </w:r>
      <w:r w:rsidRPr="00E21768">
        <w:rPr>
          <w:sz w:val="24"/>
          <w:szCs w:val="24"/>
        </w:rPr>
        <w:tab/>
      </w:r>
      <w:r w:rsidRPr="00E21768">
        <w:rPr>
          <w:sz w:val="24"/>
          <w:szCs w:val="24"/>
        </w:rPr>
        <w:tab/>
      </w:r>
      <w:r w:rsidRPr="00E21768">
        <w:rPr>
          <w:sz w:val="24"/>
          <w:szCs w:val="24"/>
        </w:rPr>
        <w:tab/>
        <w:t>8 Newmarket Road</w:t>
      </w:r>
    </w:p>
    <w:p w14:paraId="1F36FF22" w14:textId="77777777" w:rsidR="00F43A38" w:rsidRPr="00E21768" w:rsidRDefault="00F43A38" w:rsidP="00F43A38">
      <w:pPr>
        <w:spacing w:after="0" w:line="276" w:lineRule="auto"/>
        <w:rPr>
          <w:sz w:val="24"/>
          <w:szCs w:val="24"/>
        </w:rPr>
      </w:pPr>
      <w:r w:rsidRPr="00E21768">
        <w:rPr>
          <w:sz w:val="24"/>
          <w:szCs w:val="24"/>
        </w:rPr>
        <w:tab/>
      </w:r>
      <w:r w:rsidRPr="00E21768">
        <w:rPr>
          <w:sz w:val="24"/>
          <w:szCs w:val="24"/>
        </w:rPr>
        <w:tab/>
      </w:r>
      <w:r w:rsidRPr="00E21768">
        <w:rPr>
          <w:sz w:val="24"/>
          <w:szCs w:val="24"/>
        </w:rPr>
        <w:tab/>
      </w:r>
      <w:r w:rsidRPr="00E21768">
        <w:rPr>
          <w:sz w:val="24"/>
          <w:szCs w:val="24"/>
        </w:rPr>
        <w:tab/>
      </w:r>
      <w:r w:rsidRPr="00E21768">
        <w:rPr>
          <w:sz w:val="24"/>
          <w:szCs w:val="24"/>
        </w:rPr>
        <w:tab/>
        <w:t>Durham, NH 03824</w:t>
      </w:r>
    </w:p>
    <w:p w14:paraId="1BE6768C" w14:textId="77777777" w:rsidR="00F43A38" w:rsidRPr="00E21768" w:rsidRDefault="00F43A38" w:rsidP="00F43A38">
      <w:pPr>
        <w:spacing w:after="0" w:line="276" w:lineRule="auto"/>
        <w:rPr>
          <w:sz w:val="24"/>
          <w:szCs w:val="24"/>
        </w:rPr>
      </w:pPr>
    </w:p>
    <w:p w14:paraId="735E9F5D" w14:textId="77777777" w:rsidR="00F43A38" w:rsidRPr="00E21768" w:rsidRDefault="00F43A38" w:rsidP="00F43A38">
      <w:pPr>
        <w:spacing w:after="0" w:line="276" w:lineRule="auto"/>
        <w:rPr>
          <w:sz w:val="24"/>
          <w:szCs w:val="24"/>
        </w:rPr>
      </w:pPr>
      <w:r w:rsidRPr="00E21768">
        <w:rPr>
          <w:sz w:val="24"/>
          <w:szCs w:val="24"/>
        </w:rPr>
        <w:tab/>
        <w:t>Contact Person:</w:t>
      </w:r>
      <w:r w:rsidRPr="00E21768">
        <w:rPr>
          <w:sz w:val="24"/>
          <w:szCs w:val="24"/>
        </w:rPr>
        <w:tab/>
      </w:r>
      <w:r w:rsidRPr="00E21768">
        <w:rPr>
          <w:sz w:val="24"/>
          <w:szCs w:val="24"/>
        </w:rPr>
        <w:tab/>
        <w:t xml:space="preserve">Michael H. </w:t>
      </w:r>
      <w:proofErr w:type="spellStart"/>
      <w:r w:rsidRPr="00E21768">
        <w:rPr>
          <w:sz w:val="24"/>
          <w:szCs w:val="24"/>
        </w:rPr>
        <w:t>Everngam</w:t>
      </w:r>
      <w:proofErr w:type="spellEnd"/>
      <w:r w:rsidRPr="00E21768">
        <w:rPr>
          <w:sz w:val="24"/>
          <w:szCs w:val="24"/>
        </w:rPr>
        <w:t>, Chair</w:t>
      </w:r>
    </w:p>
    <w:p w14:paraId="1014B012" w14:textId="77777777" w:rsidR="00F43A38" w:rsidRPr="00E21768" w:rsidRDefault="00F43A38" w:rsidP="00F43A38">
      <w:pPr>
        <w:spacing w:after="0" w:line="276" w:lineRule="auto"/>
        <w:rPr>
          <w:sz w:val="24"/>
          <w:szCs w:val="24"/>
        </w:rPr>
      </w:pPr>
      <w:r w:rsidRPr="00E21768">
        <w:rPr>
          <w:sz w:val="24"/>
          <w:szCs w:val="24"/>
        </w:rPr>
        <w:tab/>
      </w:r>
      <w:r w:rsidRPr="00E21768">
        <w:rPr>
          <w:sz w:val="24"/>
          <w:szCs w:val="24"/>
        </w:rPr>
        <w:tab/>
      </w:r>
      <w:r w:rsidRPr="00E21768">
        <w:rPr>
          <w:sz w:val="24"/>
          <w:szCs w:val="24"/>
        </w:rPr>
        <w:tab/>
      </w:r>
      <w:r w:rsidRPr="00E21768">
        <w:rPr>
          <w:sz w:val="24"/>
          <w:szCs w:val="24"/>
        </w:rPr>
        <w:tab/>
      </w:r>
      <w:r w:rsidRPr="00E21768">
        <w:rPr>
          <w:sz w:val="24"/>
          <w:szCs w:val="24"/>
        </w:rPr>
        <w:tab/>
        <w:t>Trustees of Trust Funds</w:t>
      </w:r>
    </w:p>
    <w:p w14:paraId="04B34AA1" w14:textId="77777777" w:rsidR="00F43A38" w:rsidRPr="00E21768" w:rsidRDefault="00F43A38" w:rsidP="00F43A38">
      <w:pPr>
        <w:spacing w:after="0" w:line="276" w:lineRule="auto"/>
        <w:rPr>
          <w:sz w:val="24"/>
          <w:szCs w:val="24"/>
        </w:rPr>
      </w:pPr>
      <w:r w:rsidRPr="00E21768">
        <w:rPr>
          <w:sz w:val="24"/>
          <w:szCs w:val="24"/>
        </w:rPr>
        <w:tab/>
      </w:r>
      <w:r w:rsidRPr="00E21768">
        <w:rPr>
          <w:sz w:val="24"/>
          <w:szCs w:val="24"/>
        </w:rPr>
        <w:tab/>
      </w:r>
      <w:r w:rsidRPr="00E21768">
        <w:rPr>
          <w:sz w:val="24"/>
          <w:szCs w:val="24"/>
        </w:rPr>
        <w:tab/>
      </w:r>
      <w:r w:rsidRPr="00E21768">
        <w:rPr>
          <w:sz w:val="24"/>
          <w:szCs w:val="24"/>
        </w:rPr>
        <w:tab/>
      </w:r>
      <w:r w:rsidRPr="00E21768">
        <w:rPr>
          <w:sz w:val="24"/>
          <w:szCs w:val="24"/>
        </w:rPr>
        <w:tab/>
        <w:t>603-397-2195 (cell)</w:t>
      </w:r>
    </w:p>
    <w:p w14:paraId="6D42BCC8" w14:textId="77777777" w:rsidR="00F43A38" w:rsidRDefault="00F43A38" w:rsidP="00F43A38">
      <w:pPr>
        <w:spacing w:after="0" w:line="276" w:lineRule="auto"/>
        <w:rPr>
          <w:sz w:val="24"/>
          <w:szCs w:val="24"/>
        </w:rPr>
      </w:pPr>
      <w:r w:rsidRPr="00E21768">
        <w:rPr>
          <w:sz w:val="24"/>
          <w:szCs w:val="24"/>
        </w:rPr>
        <w:tab/>
      </w:r>
      <w:r w:rsidRPr="00E21768">
        <w:rPr>
          <w:sz w:val="24"/>
          <w:szCs w:val="24"/>
        </w:rPr>
        <w:tab/>
      </w:r>
      <w:r w:rsidRPr="00E21768">
        <w:rPr>
          <w:sz w:val="24"/>
          <w:szCs w:val="24"/>
        </w:rPr>
        <w:tab/>
      </w:r>
      <w:r w:rsidRPr="00E21768">
        <w:rPr>
          <w:sz w:val="24"/>
          <w:szCs w:val="24"/>
        </w:rPr>
        <w:tab/>
      </w:r>
      <w:r w:rsidRPr="00E21768">
        <w:rPr>
          <w:sz w:val="24"/>
          <w:szCs w:val="24"/>
        </w:rPr>
        <w:tab/>
      </w:r>
      <w:hyperlink r:id="rId7" w:history="1">
        <w:r w:rsidRPr="00186612">
          <w:rPr>
            <w:rStyle w:val="Hyperlink"/>
            <w:sz w:val="24"/>
            <w:szCs w:val="24"/>
          </w:rPr>
          <w:t>meverngam@comcast.net</w:t>
        </w:r>
      </w:hyperlink>
    </w:p>
    <w:p w14:paraId="34512AA2" w14:textId="77777777" w:rsidR="00F43A38" w:rsidRDefault="00F43A38" w:rsidP="00F43A38">
      <w:pPr>
        <w:spacing w:after="0" w:line="276" w:lineRule="auto"/>
        <w:rPr>
          <w:sz w:val="24"/>
          <w:szCs w:val="24"/>
        </w:rPr>
      </w:pPr>
    </w:p>
    <w:p w14:paraId="28DD6AEF" w14:textId="77777777" w:rsidR="00F43A38" w:rsidRDefault="00F43A38" w:rsidP="00F43A38">
      <w:pPr>
        <w:spacing w:after="0" w:line="276" w:lineRule="auto"/>
        <w:rPr>
          <w:sz w:val="24"/>
          <w:szCs w:val="24"/>
        </w:rPr>
      </w:pPr>
    </w:p>
    <w:p w14:paraId="515C23BF" w14:textId="77777777" w:rsidR="00F43A38" w:rsidRDefault="00F43A38" w:rsidP="00F43A38">
      <w:pPr>
        <w:spacing w:after="0" w:line="276" w:lineRule="auto"/>
        <w:rPr>
          <w:sz w:val="24"/>
          <w:szCs w:val="24"/>
        </w:rPr>
      </w:pPr>
    </w:p>
    <w:p w14:paraId="56D436D2" w14:textId="77777777" w:rsidR="00F43A38" w:rsidRDefault="00F43A38" w:rsidP="00F43A38">
      <w:pPr>
        <w:spacing w:after="0" w:line="276" w:lineRule="auto"/>
        <w:rPr>
          <w:sz w:val="24"/>
          <w:szCs w:val="24"/>
        </w:rPr>
      </w:pPr>
    </w:p>
    <w:p w14:paraId="2647E75D" w14:textId="77777777" w:rsidR="00F43A38" w:rsidRDefault="00F43A38" w:rsidP="00F43A38">
      <w:pPr>
        <w:spacing w:after="0" w:line="276" w:lineRule="auto"/>
        <w:rPr>
          <w:sz w:val="24"/>
          <w:szCs w:val="24"/>
        </w:rPr>
      </w:pPr>
    </w:p>
    <w:p w14:paraId="2F83A2CB" w14:textId="77777777" w:rsidR="00F43A38" w:rsidRDefault="00F43A38" w:rsidP="00F43A38">
      <w:pPr>
        <w:spacing w:after="0" w:line="276" w:lineRule="auto"/>
        <w:rPr>
          <w:sz w:val="24"/>
          <w:szCs w:val="24"/>
        </w:rPr>
      </w:pPr>
    </w:p>
    <w:p w14:paraId="68090E93" w14:textId="77777777" w:rsidR="00F43A38" w:rsidRDefault="00F43A38" w:rsidP="00F43A38">
      <w:pPr>
        <w:spacing w:after="0" w:line="276" w:lineRule="auto"/>
        <w:rPr>
          <w:sz w:val="24"/>
          <w:szCs w:val="24"/>
        </w:rPr>
      </w:pPr>
    </w:p>
    <w:p w14:paraId="3E810C85" w14:textId="77777777" w:rsidR="00F43A38" w:rsidRDefault="00F43A38" w:rsidP="00F43A38">
      <w:pPr>
        <w:spacing w:after="0" w:line="276" w:lineRule="auto"/>
        <w:rPr>
          <w:sz w:val="24"/>
          <w:szCs w:val="24"/>
        </w:rPr>
      </w:pPr>
    </w:p>
    <w:p w14:paraId="77CA3277" w14:textId="77777777" w:rsidR="00F43A38" w:rsidRDefault="00F43A38" w:rsidP="00F43A38">
      <w:pPr>
        <w:spacing w:after="0" w:line="276" w:lineRule="auto"/>
        <w:rPr>
          <w:sz w:val="24"/>
          <w:szCs w:val="24"/>
        </w:rPr>
      </w:pPr>
    </w:p>
    <w:p w14:paraId="22FEEB81" w14:textId="77777777" w:rsidR="00F43A38" w:rsidRDefault="00F43A38" w:rsidP="00F43A38">
      <w:pPr>
        <w:spacing w:after="0" w:line="276" w:lineRule="auto"/>
        <w:rPr>
          <w:sz w:val="24"/>
          <w:szCs w:val="24"/>
        </w:rPr>
      </w:pPr>
    </w:p>
    <w:p w14:paraId="289D7979" w14:textId="77777777" w:rsidR="00F43A38" w:rsidRDefault="00F43A38" w:rsidP="00F43A38">
      <w:pPr>
        <w:spacing w:after="0" w:line="276" w:lineRule="auto"/>
        <w:rPr>
          <w:sz w:val="24"/>
          <w:szCs w:val="24"/>
        </w:rPr>
      </w:pPr>
    </w:p>
    <w:p w14:paraId="3C49E6FB" w14:textId="77777777" w:rsidR="00F43A38" w:rsidRDefault="00F43A38" w:rsidP="00F43A38">
      <w:pPr>
        <w:spacing w:after="0" w:line="276" w:lineRule="auto"/>
        <w:rPr>
          <w:sz w:val="24"/>
          <w:szCs w:val="24"/>
        </w:rPr>
      </w:pPr>
    </w:p>
    <w:p w14:paraId="7A2F04B8" w14:textId="77777777" w:rsidR="00F43A38" w:rsidRDefault="00F43A38" w:rsidP="00F43A38">
      <w:pPr>
        <w:spacing w:after="0" w:line="276" w:lineRule="auto"/>
        <w:rPr>
          <w:sz w:val="24"/>
          <w:szCs w:val="24"/>
        </w:rPr>
      </w:pPr>
    </w:p>
    <w:p w14:paraId="78D5095E" w14:textId="77777777" w:rsidR="00F43A38" w:rsidRDefault="00F43A38" w:rsidP="00F43A38">
      <w:pPr>
        <w:spacing w:after="0" w:line="276" w:lineRule="auto"/>
        <w:rPr>
          <w:sz w:val="24"/>
          <w:szCs w:val="24"/>
        </w:rPr>
      </w:pPr>
    </w:p>
    <w:p w14:paraId="1FD5452D" w14:textId="77777777" w:rsidR="00F43A38" w:rsidRDefault="00F43A38" w:rsidP="00F43A38">
      <w:pPr>
        <w:spacing w:after="0" w:line="276" w:lineRule="auto"/>
        <w:rPr>
          <w:sz w:val="24"/>
          <w:szCs w:val="24"/>
        </w:rPr>
      </w:pPr>
    </w:p>
    <w:p w14:paraId="53CB83B9" w14:textId="77777777" w:rsidR="00F43A38" w:rsidRDefault="00F43A38" w:rsidP="00F43A38">
      <w:pPr>
        <w:spacing w:after="0" w:line="276" w:lineRule="auto"/>
        <w:rPr>
          <w:sz w:val="24"/>
          <w:szCs w:val="24"/>
        </w:rPr>
      </w:pPr>
    </w:p>
    <w:p w14:paraId="418928C6" w14:textId="77777777" w:rsidR="00F43A38" w:rsidRDefault="00F43A38" w:rsidP="00F43A38">
      <w:pPr>
        <w:spacing w:after="0" w:line="276" w:lineRule="auto"/>
        <w:rPr>
          <w:sz w:val="24"/>
          <w:szCs w:val="24"/>
        </w:rPr>
      </w:pPr>
    </w:p>
    <w:p w14:paraId="45EE023B" w14:textId="77777777" w:rsidR="00F43A38" w:rsidRDefault="00F43A38" w:rsidP="00F43A38">
      <w:pPr>
        <w:spacing w:after="0" w:line="276" w:lineRule="auto"/>
        <w:rPr>
          <w:sz w:val="24"/>
          <w:szCs w:val="24"/>
        </w:rPr>
      </w:pPr>
    </w:p>
    <w:p w14:paraId="56D86427" w14:textId="77777777" w:rsidR="00F43A38" w:rsidRDefault="00F43A38" w:rsidP="00F43A38">
      <w:pPr>
        <w:spacing w:after="0" w:line="276" w:lineRule="auto"/>
        <w:rPr>
          <w:sz w:val="24"/>
          <w:szCs w:val="24"/>
        </w:rPr>
      </w:pPr>
    </w:p>
    <w:p w14:paraId="46871A63" w14:textId="77777777" w:rsidR="00F43A38" w:rsidRDefault="00F43A38" w:rsidP="00F43A38">
      <w:pPr>
        <w:spacing w:after="0" w:line="276" w:lineRule="auto"/>
        <w:rPr>
          <w:sz w:val="24"/>
          <w:szCs w:val="24"/>
        </w:rPr>
      </w:pPr>
    </w:p>
    <w:p w14:paraId="480C2939" w14:textId="77777777" w:rsidR="00F43A38" w:rsidRDefault="00F43A38" w:rsidP="00F43A38">
      <w:pPr>
        <w:spacing w:after="0" w:line="276" w:lineRule="auto"/>
        <w:rPr>
          <w:sz w:val="24"/>
          <w:szCs w:val="24"/>
        </w:rPr>
      </w:pPr>
    </w:p>
    <w:p w14:paraId="159640B5" w14:textId="77777777" w:rsidR="00F43A38" w:rsidRDefault="00F43A38" w:rsidP="00F43A38">
      <w:pPr>
        <w:spacing w:after="0" w:line="276" w:lineRule="auto"/>
        <w:rPr>
          <w:sz w:val="24"/>
          <w:szCs w:val="24"/>
        </w:rPr>
      </w:pPr>
    </w:p>
    <w:p w14:paraId="403D20CB" w14:textId="77777777" w:rsidR="00F43A38" w:rsidRDefault="00F43A38" w:rsidP="00F43A38">
      <w:pPr>
        <w:spacing w:after="0" w:line="276" w:lineRule="auto"/>
        <w:rPr>
          <w:sz w:val="24"/>
          <w:szCs w:val="24"/>
        </w:rPr>
      </w:pPr>
    </w:p>
    <w:p w14:paraId="041FD8B4" w14:textId="77777777" w:rsidR="00F43A38" w:rsidRDefault="00F43A38" w:rsidP="00F43A38">
      <w:pPr>
        <w:spacing w:after="0" w:line="276" w:lineRule="auto"/>
        <w:rPr>
          <w:sz w:val="24"/>
          <w:szCs w:val="24"/>
        </w:rPr>
      </w:pPr>
    </w:p>
    <w:p w14:paraId="54C91368" w14:textId="77777777" w:rsidR="00F43A38" w:rsidRDefault="00F43A38" w:rsidP="00F43A38">
      <w:pPr>
        <w:spacing w:after="0" w:line="276" w:lineRule="auto"/>
        <w:rPr>
          <w:sz w:val="24"/>
          <w:szCs w:val="24"/>
        </w:rPr>
      </w:pPr>
    </w:p>
    <w:p w14:paraId="40FA6874" w14:textId="77777777" w:rsidR="00F43A38" w:rsidRDefault="00F43A38" w:rsidP="00F43A38">
      <w:pPr>
        <w:spacing w:after="0" w:line="276" w:lineRule="auto"/>
        <w:rPr>
          <w:sz w:val="24"/>
          <w:szCs w:val="24"/>
        </w:rPr>
      </w:pPr>
    </w:p>
    <w:p w14:paraId="618604A7" w14:textId="77777777" w:rsidR="00F43A38" w:rsidRDefault="00F43A38" w:rsidP="00F43A38">
      <w:pPr>
        <w:spacing w:after="0" w:line="276" w:lineRule="auto"/>
        <w:rPr>
          <w:sz w:val="24"/>
          <w:szCs w:val="24"/>
        </w:rPr>
      </w:pPr>
    </w:p>
    <w:p w14:paraId="6D6D64B0" w14:textId="77777777" w:rsidR="00F43A38" w:rsidRDefault="00F43A38" w:rsidP="00F43A38">
      <w:pPr>
        <w:jc w:val="center"/>
      </w:pPr>
      <w:r>
        <w:rPr>
          <w:noProof/>
        </w:rPr>
        <w:lastRenderedPageBreak/>
        <w:drawing>
          <wp:anchor distT="0" distB="0" distL="114300" distR="114300" simplePos="0" relativeHeight="251659264" behindDoc="1" locked="0" layoutInCell="1" allowOverlap="1" wp14:anchorId="0C26E70D" wp14:editId="4B7A8955">
            <wp:simplePos x="0" y="0"/>
            <wp:positionH relativeFrom="column">
              <wp:posOffset>2586355</wp:posOffset>
            </wp:positionH>
            <wp:positionV relativeFrom="paragraph">
              <wp:posOffset>-140970</wp:posOffset>
            </wp:positionV>
            <wp:extent cx="727710" cy="720725"/>
            <wp:effectExtent l="19050" t="0" r="0" b="0"/>
            <wp:wrapTight wrapText="bothSides">
              <wp:wrapPolygon edited="0">
                <wp:start x="-565" y="0"/>
                <wp:lineTo x="-565" y="21124"/>
                <wp:lineTo x="21487" y="21124"/>
                <wp:lineTo x="21487" y="0"/>
                <wp:lineTo x="-565" y="0"/>
              </wp:wrapPolygon>
            </wp:wrapTight>
            <wp:docPr id="5" name="Picture 1" descr="http://staticapp.icpsc.com/icp/loadimage.php/mogile/832637/209a40e5d9b5c685b1bd61c087a3661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832637/209a40e5d9b5c685b1bd61c087a3661e/image/png"/>
                    <pic:cNvPicPr>
                      <a:picLocks noChangeAspect="1" noChangeArrowheads="1"/>
                    </pic:cNvPicPr>
                  </pic:nvPicPr>
                  <pic:blipFill>
                    <a:blip r:embed="rId8" cstate="print"/>
                    <a:srcRect/>
                    <a:stretch>
                      <a:fillRect/>
                    </a:stretch>
                  </pic:blipFill>
                  <pic:spPr bwMode="auto">
                    <a:xfrm>
                      <a:off x="0" y="0"/>
                      <a:ext cx="727710" cy="720725"/>
                    </a:xfrm>
                    <a:prstGeom prst="rect">
                      <a:avLst/>
                    </a:prstGeom>
                    <a:noFill/>
                    <a:ln w="9525">
                      <a:noFill/>
                      <a:miter lim="800000"/>
                      <a:headEnd/>
                      <a:tailEnd/>
                    </a:ln>
                  </pic:spPr>
                </pic:pic>
              </a:graphicData>
            </a:graphic>
          </wp:anchor>
        </w:drawing>
      </w:r>
    </w:p>
    <w:p w14:paraId="18BCB4F7" w14:textId="77777777" w:rsidR="00F43A38" w:rsidRDefault="00F43A38" w:rsidP="00F43A38">
      <w:pPr>
        <w:pStyle w:val="EnvelopeReturn"/>
        <w:jc w:val="center"/>
      </w:pPr>
    </w:p>
    <w:p w14:paraId="1A77397B" w14:textId="77777777" w:rsidR="00F43A38" w:rsidRDefault="00F43A38" w:rsidP="00F43A38">
      <w:pPr>
        <w:pStyle w:val="EnvelopeReturn"/>
        <w:jc w:val="center"/>
      </w:pPr>
    </w:p>
    <w:p w14:paraId="6AE4DDAD" w14:textId="77777777" w:rsidR="00F43A38" w:rsidRDefault="00F43A38" w:rsidP="00F43A38">
      <w:pPr>
        <w:pStyle w:val="EnvelopeReturn"/>
        <w:jc w:val="center"/>
      </w:pPr>
    </w:p>
    <w:p w14:paraId="69192650" w14:textId="77777777" w:rsidR="00F43A38" w:rsidRPr="00E7269B" w:rsidRDefault="00F43A38" w:rsidP="00F43A38">
      <w:pPr>
        <w:pStyle w:val="EnvelopeReturn"/>
        <w:jc w:val="center"/>
        <w:rPr>
          <w:rFonts w:asciiTheme="minorHAnsi" w:hAnsiTheme="minorHAnsi" w:cstheme="minorHAnsi"/>
          <w:sz w:val="22"/>
          <w:szCs w:val="22"/>
        </w:rPr>
      </w:pPr>
    </w:p>
    <w:p w14:paraId="04DFBDA2" w14:textId="77777777" w:rsidR="00F43A38" w:rsidRPr="000870A6" w:rsidRDefault="00F43A38" w:rsidP="00F43A38">
      <w:pPr>
        <w:pStyle w:val="EnvelopeReturn"/>
        <w:jc w:val="center"/>
        <w:rPr>
          <w:rFonts w:asciiTheme="minorHAnsi" w:hAnsiTheme="minorHAnsi" w:cstheme="minorHAnsi"/>
          <w:sz w:val="28"/>
          <w:szCs w:val="28"/>
        </w:rPr>
      </w:pPr>
      <w:r w:rsidRPr="000870A6">
        <w:rPr>
          <w:rFonts w:asciiTheme="minorHAnsi" w:hAnsiTheme="minorHAnsi" w:cstheme="minorHAnsi"/>
          <w:sz w:val="28"/>
          <w:szCs w:val="28"/>
        </w:rPr>
        <w:t>Trustees of Trust Funds</w:t>
      </w:r>
    </w:p>
    <w:p w14:paraId="167A98EA" w14:textId="77777777" w:rsidR="00F43A38" w:rsidRPr="000870A6" w:rsidRDefault="00F43A38" w:rsidP="00F43A38">
      <w:pPr>
        <w:pStyle w:val="EnvelopeReturn"/>
        <w:jc w:val="center"/>
        <w:rPr>
          <w:rFonts w:asciiTheme="minorHAnsi" w:hAnsiTheme="minorHAnsi" w:cstheme="minorHAnsi"/>
          <w:sz w:val="24"/>
          <w:szCs w:val="24"/>
        </w:rPr>
      </w:pPr>
      <w:r w:rsidRPr="000870A6">
        <w:rPr>
          <w:rFonts w:asciiTheme="minorHAnsi" w:hAnsiTheme="minorHAnsi" w:cstheme="minorHAnsi"/>
          <w:sz w:val="24"/>
          <w:szCs w:val="24"/>
        </w:rPr>
        <w:t>Town of Durham</w:t>
      </w:r>
    </w:p>
    <w:p w14:paraId="78491129" w14:textId="77777777" w:rsidR="00F43A38" w:rsidRPr="000870A6" w:rsidRDefault="00F43A38" w:rsidP="00F43A38">
      <w:pPr>
        <w:pStyle w:val="EnvelopeReturn"/>
        <w:jc w:val="center"/>
        <w:rPr>
          <w:rFonts w:asciiTheme="minorHAnsi" w:hAnsiTheme="minorHAnsi" w:cstheme="minorHAnsi"/>
          <w:sz w:val="24"/>
          <w:szCs w:val="24"/>
        </w:rPr>
      </w:pPr>
      <w:r w:rsidRPr="000870A6">
        <w:rPr>
          <w:rFonts w:asciiTheme="minorHAnsi" w:hAnsiTheme="minorHAnsi" w:cstheme="minorHAnsi"/>
          <w:sz w:val="24"/>
          <w:szCs w:val="24"/>
        </w:rPr>
        <w:t>8 Newmarket Road</w:t>
      </w:r>
    </w:p>
    <w:p w14:paraId="26244F07" w14:textId="77777777" w:rsidR="00F43A38" w:rsidRPr="000870A6" w:rsidRDefault="00F43A38" w:rsidP="00F43A38">
      <w:pPr>
        <w:pStyle w:val="EnvelopeReturn"/>
        <w:jc w:val="center"/>
        <w:rPr>
          <w:rFonts w:asciiTheme="minorHAnsi" w:hAnsiTheme="minorHAnsi" w:cstheme="minorHAnsi"/>
          <w:sz w:val="24"/>
          <w:szCs w:val="24"/>
        </w:rPr>
      </w:pPr>
      <w:r w:rsidRPr="000870A6">
        <w:rPr>
          <w:rFonts w:asciiTheme="minorHAnsi" w:hAnsiTheme="minorHAnsi" w:cstheme="minorHAnsi"/>
          <w:sz w:val="24"/>
          <w:szCs w:val="24"/>
        </w:rPr>
        <w:t>Durham, NH 03824</w:t>
      </w:r>
    </w:p>
    <w:p w14:paraId="59F88034" w14:textId="77777777" w:rsidR="00F43A38" w:rsidRPr="000870A6" w:rsidRDefault="00F43A38" w:rsidP="00F43A38">
      <w:pPr>
        <w:pStyle w:val="EnvelopeReturn"/>
        <w:jc w:val="center"/>
        <w:rPr>
          <w:rFonts w:asciiTheme="minorHAnsi" w:hAnsiTheme="minorHAnsi" w:cstheme="minorHAnsi"/>
          <w:sz w:val="24"/>
          <w:szCs w:val="24"/>
        </w:rPr>
      </w:pPr>
    </w:p>
    <w:p w14:paraId="2D5B41BA" w14:textId="7E790C97" w:rsidR="00F43A38" w:rsidRPr="000870A6" w:rsidRDefault="00F43A38" w:rsidP="00F43A38">
      <w:pPr>
        <w:jc w:val="center"/>
        <w:rPr>
          <w:rFonts w:cstheme="minorHAnsi"/>
          <w:sz w:val="24"/>
          <w:szCs w:val="24"/>
        </w:rPr>
      </w:pPr>
      <w:r w:rsidRPr="000870A6">
        <w:rPr>
          <w:rFonts w:cstheme="minorHAnsi"/>
          <w:sz w:val="24"/>
          <w:szCs w:val="24"/>
        </w:rPr>
        <w:t>INVESTMENT POLICY</w:t>
      </w:r>
      <w:r w:rsidR="00F51811">
        <w:rPr>
          <w:rFonts w:cstheme="minorHAnsi"/>
          <w:sz w:val="24"/>
          <w:szCs w:val="24"/>
        </w:rPr>
        <w:t xml:space="preserve"> </w:t>
      </w:r>
      <w:r w:rsidR="00F51811" w:rsidRPr="00665D88">
        <w:rPr>
          <w:rFonts w:cstheme="minorHAnsi"/>
          <w:i/>
          <w:iCs/>
          <w:sz w:val="24"/>
          <w:szCs w:val="24"/>
        </w:rPr>
        <w:t>(</w:t>
      </w:r>
      <w:r w:rsidR="005A629D" w:rsidRPr="00665D88">
        <w:rPr>
          <w:rFonts w:cstheme="minorHAnsi"/>
          <w:i/>
          <w:iCs/>
          <w:sz w:val="24"/>
          <w:szCs w:val="24"/>
        </w:rPr>
        <w:t xml:space="preserve">Attached to the RFQ and </w:t>
      </w:r>
      <w:r w:rsidR="00820478" w:rsidRPr="00665D88">
        <w:rPr>
          <w:rFonts w:cstheme="minorHAnsi"/>
          <w:i/>
          <w:iCs/>
          <w:sz w:val="24"/>
          <w:szCs w:val="24"/>
        </w:rPr>
        <w:t>i</w:t>
      </w:r>
      <w:r w:rsidR="00F51811" w:rsidRPr="00665D88">
        <w:rPr>
          <w:rFonts w:cstheme="minorHAnsi"/>
          <w:i/>
          <w:iCs/>
          <w:sz w:val="24"/>
          <w:szCs w:val="24"/>
        </w:rPr>
        <w:t xml:space="preserve">n force at release of </w:t>
      </w:r>
      <w:r w:rsidR="005A629D" w:rsidRPr="00665D88">
        <w:rPr>
          <w:rFonts w:cstheme="minorHAnsi"/>
          <w:i/>
          <w:iCs/>
          <w:sz w:val="24"/>
          <w:szCs w:val="24"/>
        </w:rPr>
        <w:t xml:space="preserve">the </w:t>
      </w:r>
      <w:r w:rsidR="00F51811" w:rsidRPr="00665D88">
        <w:rPr>
          <w:rFonts w:cstheme="minorHAnsi"/>
          <w:i/>
          <w:iCs/>
          <w:sz w:val="24"/>
          <w:szCs w:val="24"/>
        </w:rPr>
        <w:t>RFQ)</w:t>
      </w:r>
      <w:r w:rsidR="00F51811">
        <w:rPr>
          <w:rFonts w:cstheme="minorHAnsi"/>
          <w:sz w:val="24"/>
          <w:szCs w:val="24"/>
        </w:rPr>
        <w:t xml:space="preserve"> </w:t>
      </w:r>
    </w:p>
    <w:p w14:paraId="20F5598F" w14:textId="77777777" w:rsidR="00F43A38" w:rsidRPr="000870A6" w:rsidRDefault="00F43A38" w:rsidP="00F43A38">
      <w:pPr>
        <w:rPr>
          <w:rFonts w:cstheme="minorHAnsi"/>
          <w:sz w:val="24"/>
          <w:szCs w:val="24"/>
        </w:rPr>
      </w:pPr>
    </w:p>
    <w:p w14:paraId="7F798662" w14:textId="77777777" w:rsidR="00F43A38" w:rsidRPr="000870A6" w:rsidRDefault="00F43A38" w:rsidP="00F43A38">
      <w:pPr>
        <w:spacing w:after="0"/>
        <w:rPr>
          <w:rFonts w:cstheme="minorHAnsi"/>
          <w:sz w:val="24"/>
          <w:szCs w:val="24"/>
        </w:rPr>
      </w:pPr>
      <w:r w:rsidRPr="000870A6">
        <w:rPr>
          <w:rFonts w:cstheme="minorHAnsi"/>
          <w:sz w:val="24"/>
          <w:szCs w:val="24"/>
        </w:rPr>
        <w:t>PURPOSE:</w:t>
      </w:r>
    </w:p>
    <w:p w14:paraId="742549B8" w14:textId="77777777" w:rsidR="00F43A38" w:rsidRPr="000870A6" w:rsidRDefault="00F43A38" w:rsidP="00F43A38">
      <w:pPr>
        <w:spacing w:after="0"/>
        <w:rPr>
          <w:rFonts w:cstheme="minorHAnsi"/>
          <w:sz w:val="24"/>
          <w:szCs w:val="24"/>
        </w:rPr>
      </w:pPr>
    </w:p>
    <w:p w14:paraId="558A1C3E" w14:textId="77777777" w:rsidR="00F43A38" w:rsidRPr="000870A6" w:rsidRDefault="00F43A38" w:rsidP="00F43A38">
      <w:pPr>
        <w:spacing w:after="0"/>
        <w:rPr>
          <w:rFonts w:cstheme="minorHAnsi"/>
          <w:sz w:val="24"/>
          <w:szCs w:val="24"/>
        </w:rPr>
      </w:pPr>
      <w:r w:rsidRPr="000870A6">
        <w:rPr>
          <w:rFonts w:cstheme="minorHAnsi"/>
          <w:sz w:val="24"/>
          <w:szCs w:val="24"/>
        </w:rPr>
        <w:t xml:space="preserve">This policy governs the administration and investment of funds in the custody of the Trustees of Trust Funds of the Town of Durham, NH.  </w:t>
      </w:r>
    </w:p>
    <w:p w14:paraId="2E6A4EDE" w14:textId="77777777" w:rsidR="00F43A38" w:rsidRPr="000870A6" w:rsidRDefault="00F43A38" w:rsidP="00F43A38">
      <w:pPr>
        <w:spacing w:after="0"/>
        <w:rPr>
          <w:rFonts w:cstheme="minorHAnsi"/>
          <w:sz w:val="24"/>
          <w:szCs w:val="24"/>
        </w:rPr>
      </w:pPr>
    </w:p>
    <w:p w14:paraId="3F60540B" w14:textId="77777777" w:rsidR="00F43A38" w:rsidRPr="000870A6" w:rsidRDefault="00F43A38" w:rsidP="00F43A38">
      <w:pPr>
        <w:spacing w:after="0"/>
        <w:rPr>
          <w:rFonts w:cstheme="minorHAnsi"/>
          <w:sz w:val="24"/>
          <w:szCs w:val="24"/>
        </w:rPr>
      </w:pPr>
      <w:r w:rsidRPr="000870A6">
        <w:rPr>
          <w:rFonts w:cstheme="minorHAnsi"/>
          <w:sz w:val="24"/>
          <w:szCs w:val="24"/>
        </w:rPr>
        <w:t xml:space="preserve">The Trustees will manage the funds in their custody in accordance with the Prudent Investor Rule as referenced in RSA 31:25-d and in RSA 564-B:9-901 through -906, and summarized as  </w:t>
      </w:r>
    </w:p>
    <w:p w14:paraId="6D850914" w14:textId="77777777" w:rsidR="00F43A38" w:rsidRPr="000870A6" w:rsidRDefault="00F43A38" w:rsidP="00F43A38">
      <w:pPr>
        <w:spacing w:after="0"/>
        <w:ind w:left="720"/>
        <w:rPr>
          <w:rFonts w:cstheme="minorHAnsi"/>
          <w:sz w:val="24"/>
          <w:szCs w:val="24"/>
        </w:rPr>
      </w:pPr>
      <w:r w:rsidRPr="000870A6">
        <w:rPr>
          <w:rFonts w:cstheme="minorHAnsi"/>
          <w:sz w:val="24"/>
          <w:szCs w:val="24"/>
        </w:rPr>
        <w:t xml:space="preserve">“In general, the Trustees shall invest and manage trust assets as a prudent investor would, by considering the purposes, terms, distribution requirements, and other circumstances of the trust. In satisfying this standard, the trustee shall exercise reasonable care, skill, and caution.    A trustee's investment and management decisions respecting individual assets must be evaluated not in isolation but in the context of the trust portfolio as a whole and as a part of an overall investment strategy having risk and return objectives reasonably suited to the trust.” </w:t>
      </w:r>
    </w:p>
    <w:p w14:paraId="23BA315D" w14:textId="77777777" w:rsidR="00F43A38" w:rsidRPr="000870A6" w:rsidRDefault="00F43A38" w:rsidP="00F43A38">
      <w:pPr>
        <w:spacing w:after="0"/>
        <w:rPr>
          <w:rFonts w:cstheme="minorHAnsi"/>
          <w:sz w:val="24"/>
          <w:szCs w:val="24"/>
        </w:rPr>
      </w:pPr>
    </w:p>
    <w:p w14:paraId="3904823F" w14:textId="77777777" w:rsidR="00F43A38" w:rsidRPr="000870A6" w:rsidRDefault="00F43A38" w:rsidP="00F43A38">
      <w:pPr>
        <w:spacing w:after="0"/>
        <w:rPr>
          <w:rFonts w:cstheme="minorHAnsi"/>
          <w:sz w:val="24"/>
          <w:szCs w:val="24"/>
        </w:rPr>
      </w:pPr>
      <w:r w:rsidRPr="000870A6">
        <w:rPr>
          <w:rFonts w:cstheme="minorHAnsi"/>
          <w:sz w:val="24"/>
          <w:szCs w:val="24"/>
        </w:rPr>
        <w:t xml:space="preserve">The Trustees will employ an investment advisor to assist in the management of the funds in their custody as required by RSA 31:25-d and explicated in RSA 31:38-a.  Fees for the investment advisor’s services will be charged against the reserves and trusts involved as provided in RSA 31:38-aIV and authorized by Durham Town Council Resolution #2014-14. </w:t>
      </w:r>
    </w:p>
    <w:p w14:paraId="7D056CF8" w14:textId="77777777" w:rsidR="00F43A38" w:rsidRPr="000870A6" w:rsidRDefault="00F43A38" w:rsidP="00F43A38">
      <w:pPr>
        <w:spacing w:after="0"/>
        <w:rPr>
          <w:rFonts w:cstheme="minorHAnsi"/>
          <w:sz w:val="24"/>
          <w:szCs w:val="24"/>
        </w:rPr>
      </w:pPr>
    </w:p>
    <w:p w14:paraId="54326E3D" w14:textId="77777777" w:rsidR="00F43A38" w:rsidRPr="000870A6" w:rsidRDefault="00F43A38" w:rsidP="00F43A38">
      <w:pPr>
        <w:spacing w:after="0"/>
        <w:rPr>
          <w:rFonts w:cstheme="minorHAnsi"/>
          <w:sz w:val="24"/>
          <w:szCs w:val="24"/>
        </w:rPr>
      </w:pPr>
      <w:r w:rsidRPr="000870A6">
        <w:rPr>
          <w:rFonts w:cstheme="minorHAnsi"/>
          <w:sz w:val="24"/>
          <w:szCs w:val="24"/>
        </w:rPr>
        <w:t xml:space="preserve">The funds in Trustee custody are categorized by source, per NH statutes, as follows (this is not the basis for the assignment of funds to bank sub-accounts, rather, a guide for understanding how reserves and trusts </w:t>
      </w:r>
      <w:proofErr w:type="gramStart"/>
      <w:r w:rsidRPr="000870A6">
        <w:rPr>
          <w:rFonts w:cstheme="minorHAnsi"/>
          <w:sz w:val="24"/>
          <w:szCs w:val="24"/>
        </w:rPr>
        <w:t>are</w:t>
      </w:r>
      <w:proofErr w:type="gramEnd"/>
      <w:r w:rsidRPr="000870A6">
        <w:rPr>
          <w:rFonts w:cstheme="minorHAnsi"/>
          <w:sz w:val="24"/>
          <w:szCs w:val="24"/>
        </w:rPr>
        <w:t xml:space="preserve"> classified under the law.):</w:t>
      </w:r>
    </w:p>
    <w:p w14:paraId="2DBBF5A6" w14:textId="77777777" w:rsidR="00F43A38" w:rsidRPr="000870A6" w:rsidRDefault="00F43A38" w:rsidP="00F43A38">
      <w:pPr>
        <w:pStyle w:val="ListParagraph"/>
        <w:numPr>
          <w:ilvl w:val="0"/>
          <w:numId w:val="3"/>
        </w:numPr>
        <w:spacing w:after="0"/>
        <w:rPr>
          <w:rFonts w:cstheme="minorHAnsi"/>
          <w:sz w:val="24"/>
          <w:szCs w:val="24"/>
        </w:rPr>
      </w:pPr>
      <w:r w:rsidRPr="000870A6">
        <w:rPr>
          <w:rFonts w:cstheme="minorHAnsi"/>
          <w:sz w:val="24"/>
          <w:szCs w:val="24"/>
        </w:rPr>
        <w:t>Appropriated funds - RSA 31:19 and 31:19-a, and RSA 35:1 through 35:10 inclusive;</w:t>
      </w:r>
    </w:p>
    <w:p w14:paraId="1ECBB2D4" w14:textId="77777777" w:rsidR="00F43A38" w:rsidRPr="000870A6" w:rsidRDefault="00F43A38" w:rsidP="00F43A38">
      <w:pPr>
        <w:pStyle w:val="ListParagraph"/>
        <w:numPr>
          <w:ilvl w:val="0"/>
          <w:numId w:val="4"/>
        </w:numPr>
        <w:spacing w:after="0"/>
        <w:rPr>
          <w:rFonts w:cstheme="minorHAnsi"/>
          <w:sz w:val="24"/>
          <w:szCs w:val="24"/>
        </w:rPr>
      </w:pPr>
      <w:r w:rsidRPr="000870A6">
        <w:rPr>
          <w:rFonts w:cstheme="minorHAnsi"/>
          <w:sz w:val="24"/>
          <w:szCs w:val="24"/>
        </w:rPr>
        <w:t xml:space="preserve">Capital reserves;  </w:t>
      </w:r>
    </w:p>
    <w:p w14:paraId="07983A79" w14:textId="77777777" w:rsidR="00F43A38" w:rsidRPr="000870A6" w:rsidRDefault="00F43A38" w:rsidP="00F43A38">
      <w:pPr>
        <w:pStyle w:val="ListParagraph"/>
        <w:numPr>
          <w:ilvl w:val="0"/>
          <w:numId w:val="4"/>
        </w:numPr>
        <w:spacing w:after="0"/>
        <w:rPr>
          <w:rFonts w:cstheme="minorHAnsi"/>
          <w:sz w:val="24"/>
          <w:szCs w:val="24"/>
        </w:rPr>
      </w:pPr>
      <w:r w:rsidRPr="000870A6">
        <w:rPr>
          <w:rFonts w:cstheme="minorHAnsi"/>
          <w:sz w:val="24"/>
          <w:szCs w:val="24"/>
        </w:rPr>
        <w:t>Other reserves;</w:t>
      </w:r>
    </w:p>
    <w:p w14:paraId="7607E40F" w14:textId="77777777" w:rsidR="00F43A38" w:rsidRPr="000870A6" w:rsidRDefault="00F43A38" w:rsidP="00F43A38">
      <w:pPr>
        <w:pStyle w:val="ListParagraph"/>
        <w:numPr>
          <w:ilvl w:val="0"/>
          <w:numId w:val="4"/>
        </w:numPr>
        <w:spacing w:after="0"/>
        <w:rPr>
          <w:rFonts w:cstheme="minorHAnsi"/>
          <w:sz w:val="24"/>
          <w:szCs w:val="24"/>
        </w:rPr>
      </w:pPr>
      <w:r w:rsidRPr="000870A6">
        <w:rPr>
          <w:rFonts w:cstheme="minorHAnsi"/>
          <w:sz w:val="24"/>
          <w:szCs w:val="24"/>
        </w:rPr>
        <w:t>Public money trusts;</w:t>
      </w:r>
    </w:p>
    <w:p w14:paraId="27C504D1" w14:textId="77777777" w:rsidR="00F43A38" w:rsidRPr="000870A6" w:rsidRDefault="00F43A38" w:rsidP="00F43A38">
      <w:pPr>
        <w:pStyle w:val="ListParagraph"/>
        <w:numPr>
          <w:ilvl w:val="0"/>
          <w:numId w:val="4"/>
        </w:numPr>
        <w:spacing w:after="0"/>
        <w:rPr>
          <w:rFonts w:cstheme="minorHAnsi"/>
          <w:sz w:val="24"/>
          <w:szCs w:val="24"/>
        </w:rPr>
      </w:pPr>
      <w:r w:rsidRPr="000870A6">
        <w:rPr>
          <w:rFonts w:cstheme="minorHAnsi"/>
          <w:sz w:val="24"/>
          <w:szCs w:val="24"/>
        </w:rPr>
        <w:t>Private money trusts with public purposes</w:t>
      </w:r>
    </w:p>
    <w:p w14:paraId="4C569905" w14:textId="77777777" w:rsidR="00F43A38" w:rsidRPr="000870A6" w:rsidRDefault="00F43A38" w:rsidP="00F43A38">
      <w:pPr>
        <w:pStyle w:val="ListParagraph"/>
        <w:numPr>
          <w:ilvl w:val="0"/>
          <w:numId w:val="3"/>
        </w:numPr>
        <w:spacing w:after="0"/>
        <w:rPr>
          <w:rFonts w:cstheme="minorHAnsi"/>
          <w:sz w:val="24"/>
          <w:szCs w:val="24"/>
        </w:rPr>
      </w:pPr>
      <w:r w:rsidRPr="000870A6">
        <w:rPr>
          <w:rFonts w:cstheme="minorHAnsi"/>
          <w:sz w:val="24"/>
          <w:szCs w:val="24"/>
        </w:rPr>
        <w:t>Cemetery trusts – RSA 31:20 through 31:22a inclusive, and RSA 31-19-a:</w:t>
      </w:r>
    </w:p>
    <w:p w14:paraId="31393F84" w14:textId="77777777" w:rsidR="00F43A38" w:rsidRPr="000870A6" w:rsidRDefault="00F43A38" w:rsidP="00F43A38">
      <w:pPr>
        <w:pStyle w:val="ListParagraph"/>
        <w:numPr>
          <w:ilvl w:val="0"/>
          <w:numId w:val="5"/>
        </w:numPr>
        <w:spacing w:after="0"/>
        <w:rPr>
          <w:rFonts w:cstheme="minorHAnsi"/>
          <w:sz w:val="24"/>
          <w:szCs w:val="24"/>
        </w:rPr>
      </w:pPr>
      <w:r w:rsidRPr="000870A6">
        <w:rPr>
          <w:rFonts w:cstheme="minorHAnsi"/>
          <w:sz w:val="24"/>
          <w:szCs w:val="24"/>
        </w:rPr>
        <w:t>Perpetual care trusts</w:t>
      </w:r>
    </w:p>
    <w:p w14:paraId="7C46779A" w14:textId="5A62DC63" w:rsidR="00F43A38" w:rsidRDefault="00F43A38" w:rsidP="00F43A38">
      <w:pPr>
        <w:pStyle w:val="ListParagraph"/>
        <w:numPr>
          <w:ilvl w:val="0"/>
          <w:numId w:val="6"/>
        </w:numPr>
        <w:spacing w:after="0"/>
        <w:rPr>
          <w:rFonts w:cstheme="minorHAnsi"/>
          <w:sz w:val="24"/>
          <w:szCs w:val="24"/>
        </w:rPr>
      </w:pPr>
      <w:r w:rsidRPr="000870A6">
        <w:rPr>
          <w:rFonts w:cstheme="minorHAnsi"/>
          <w:sz w:val="24"/>
          <w:szCs w:val="24"/>
        </w:rPr>
        <w:t>Municipal cemetery.</w:t>
      </w:r>
    </w:p>
    <w:p w14:paraId="3667482E" w14:textId="2C165BF7" w:rsidR="00F43A38" w:rsidRPr="000870A6" w:rsidRDefault="00F51811" w:rsidP="00F43A38">
      <w:pPr>
        <w:pStyle w:val="ListParagraph"/>
        <w:numPr>
          <w:ilvl w:val="0"/>
          <w:numId w:val="6"/>
        </w:numPr>
        <w:spacing w:after="0"/>
        <w:rPr>
          <w:rFonts w:cstheme="minorHAnsi"/>
          <w:sz w:val="24"/>
          <w:szCs w:val="24"/>
        </w:rPr>
      </w:pPr>
      <w:r>
        <w:rPr>
          <w:rFonts w:cstheme="minorHAnsi"/>
          <w:sz w:val="24"/>
          <w:szCs w:val="24"/>
        </w:rPr>
        <w:lastRenderedPageBreak/>
        <w:t>Pri</w:t>
      </w:r>
      <w:r w:rsidR="00F43A38" w:rsidRPr="000870A6">
        <w:rPr>
          <w:rFonts w:cstheme="minorHAnsi"/>
          <w:sz w:val="24"/>
          <w:szCs w:val="24"/>
        </w:rPr>
        <w:t>vate trusts with private purposes.</w:t>
      </w:r>
    </w:p>
    <w:p w14:paraId="3348E2A8" w14:textId="77777777" w:rsidR="00F43A38" w:rsidRPr="000870A6" w:rsidRDefault="00F43A38" w:rsidP="00F43A38">
      <w:pPr>
        <w:pStyle w:val="ListParagraph"/>
        <w:numPr>
          <w:ilvl w:val="0"/>
          <w:numId w:val="5"/>
        </w:numPr>
        <w:spacing w:after="0"/>
        <w:rPr>
          <w:rFonts w:cstheme="minorHAnsi"/>
          <w:sz w:val="24"/>
          <w:szCs w:val="24"/>
        </w:rPr>
      </w:pPr>
      <w:r w:rsidRPr="000870A6">
        <w:rPr>
          <w:rFonts w:cstheme="minorHAnsi"/>
          <w:sz w:val="24"/>
          <w:szCs w:val="24"/>
        </w:rPr>
        <w:t>Other trusts;</w:t>
      </w:r>
    </w:p>
    <w:p w14:paraId="0E2C079F" w14:textId="77777777" w:rsidR="00F43A38" w:rsidRPr="000870A6" w:rsidRDefault="00F43A38" w:rsidP="00F43A38">
      <w:pPr>
        <w:pStyle w:val="ListParagraph"/>
        <w:numPr>
          <w:ilvl w:val="0"/>
          <w:numId w:val="3"/>
        </w:numPr>
        <w:spacing w:after="0"/>
        <w:rPr>
          <w:rFonts w:cstheme="minorHAnsi"/>
          <w:sz w:val="24"/>
          <w:szCs w:val="24"/>
        </w:rPr>
      </w:pPr>
      <w:r w:rsidRPr="000870A6">
        <w:rPr>
          <w:rFonts w:cstheme="minorHAnsi"/>
          <w:sz w:val="24"/>
          <w:szCs w:val="24"/>
        </w:rPr>
        <w:t>Agency trusts – RSA 35:1 through RSA 35:10 inclusive, and RSA 31:31, RSA 35-2 and RSA 198:20c</w:t>
      </w:r>
    </w:p>
    <w:p w14:paraId="4A2D2844" w14:textId="77777777" w:rsidR="00F43A38" w:rsidRPr="000870A6" w:rsidRDefault="00F43A38" w:rsidP="00F43A38">
      <w:pPr>
        <w:pStyle w:val="ListParagraph"/>
        <w:numPr>
          <w:ilvl w:val="0"/>
          <w:numId w:val="7"/>
        </w:numPr>
        <w:spacing w:after="0"/>
        <w:rPr>
          <w:rFonts w:cstheme="minorHAnsi"/>
          <w:sz w:val="24"/>
          <w:szCs w:val="24"/>
        </w:rPr>
      </w:pPr>
      <w:r w:rsidRPr="000870A6">
        <w:rPr>
          <w:rFonts w:cstheme="minorHAnsi"/>
          <w:sz w:val="24"/>
          <w:szCs w:val="24"/>
        </w:rPr>
        <w:t>Appropriated funds;</w:t>
      </w:r>
    </w:p>
    <w:p w14:paraId="416E99CF" w14:textId="77777777" w:rsidR="00F43A38" w:rsidRPr="000870A6" w:rsidRDefault="00F43A38" w:rsidP="00F43A38">
      <w:pPr>
        <w:pStyle w:val="ListParagraph"/>
        <w:numPr>
          <w:ilvl w:val="0"/>
          <w:numId w:val="7"/>
        </w:numPr>
        <w:spacing w:after="0"/>
        <w:rPr>
          <w:rFonts w:cstheme="minorHAnsi"/>
          <w:sz w:val="24"/>
          <w:szCs w:val="24"/>
        </w:rPr>
      </w:pPr>
      <w:r w:rsidRPr="000870A6">
        <w:rPr>
          <w:rFonts w:cstheme="minorHAnsi"/>
          <w:sz w:val="24"/>
          <w:szCs w:val="24"/>
        </w:rPr>
        <w:t xml:space="preserve">Public money trusts and private money trusts with public </w:t>
      </w:r>
      <w:proofErr w:type="gramStart"/>
      <w:r w:rsidRPr="000870A6">
        <w:rPr>
          <w:rFonts w:cstheme="minorHAnsi"/>
          <w:sz w:val="24"/>
          <w:szCs w:val="24"/>
        </w:rPr>
        <w:t>purpose;;</w:t>
      </w:r>
      <w:proofErr w:type="gramEnd"/>
    </w:p>
    <w:p w14:paraId="4B0F839F" w14:textId="77777777" w:rsidR="00F43A38" w:rsidRPr="000870A6" w:rsidRDefault="00F43A38" w:rsidP="00F43A38">
      <w:pPr>
        <w:pStyle w:val="ListParagraph"/>
        <w:numPr>
          <w:ilvl w:val="0"/>
          <w:numId w:val="7"/>
        </w:numPr>
        <w:spacing w:after="0"/>
        <w:rPr>
          <w:rFonts w:cstheme="minorHAnsi"/>
          <w:sz w:val="24"/>
          <w:szCs w:val="24"/>
        </w:rPr>
      </w:pPr>
      <w:r w:rsidRPr="000870A6">
        <w:rPr>
          <w:rFonts w:cstheme="minorHAnsi"/>
          <w:sz w:val="24"/>
          <w:szCs w:val="24"/>
        </w:rPr>
        <w:t>Private purpose trusts (</w:t>
      </w:r>
      <w:proofErr w:type="gramStart"/>
      <w:r w:rsidRPr="000870A6">
        <w:rPr>
          <w:rFonts w:cstheme="minorHAnsi"/>
          <w:sz w:val="24"/>
          <w:szCs w:val="24"/>
        </w:rPr>
        <w:t>e.g.</w:t>
      </w:r>
      <w:proofErr w:type="gramEnd"/>
      <w:r w:rsidRPr="000870A6">
        <w:rPr>
          <w:rFonts w:cstheme="minorHAnsi"/>
          <w:sz w:val="24"/>
          <w:szCs w:val="24"/>
        </w:rPr>
        <w:t xml:space="preserve"> scholarships).</w:t>
      </w:r>
    </w:p>
    <w:p w14:paraId="2D395A68" w14:textId="77777777" w:rsidR="00F43A38" w:rsidRPr="000870A6" w:rsidRDefault="00F43A38" w:rsidP="00F43A38">
      <w:pPr>
        <w:pStyle w:val="ListParagraph"/>
        <w:numPr>
          <w:ilvl w:val="0"/>
          <w:numId w:val="3"/>
        </w:numPr>
        <w:spacing w:after="0"/>
        <w:rPr>
          <w:rFonts w:cstheme="minorHAnsi"/>
          <w:sz w:val="24"/>
          <w:szCs w:val="24"/>
        </w:rPr>
      </w:pPr>
      <w:r w:rsidRPr="000870A6">
        <w:rPr>
          <w:rFonts w:cstheme="minorHAnsi"/>
          <w:sz w:val="24"/>
          <w:szCs w:val="24"/>
        </w:rPr>
        <w:t>Private trusts – RSA 31:19 through 31:19-c inclusive.</w:t>
      </w:r>
    </w:p>
    <w:p w14:paraId="0C4E13FD" w14:textId="77777777" w:rsidR="00F43A38" w:rsidRPr="000870A6" w:rsidRDefault="00F43A38" w:rsidP="00F43A38">
      <w:pPr>
        <w:pStyle w:val="ListParagraph"/>
        <w:numPr>
          <w:ilvl w:val="0"/>
          <w:numId w:val="3"/>
        </w:numPr>
        <w:spacing w:after="0"/>
        <w:rPr>
          <w:rFonts w:cstheme="minorHAnsi"/>
          <w:sz w:val="24"/>
          <w:szCs w:val="24"/>
        </w:rPr>
      </w:pPr>
      <w:r w:rsidRPr="000870A6">
        <w:rPr>
          <w:rFonts w:cstheme="minorHAnsi"/>
          <w:sz w:val="24"/>
          <w:szCs w:val="24"/>
        </w:rPr>
        <w:t xml:space="preserve">All reserves and trusts may be expended by the legislative body having authority over the reserve or trust. Reserve and trust resolutions or warrant articles may also appoint an agent to expend from the reserve or trust in accordance with the purpose of the trust.  </w:t>
      </w:r>
    </w:p>
    <w:p w14:paraId="2A6179F9" w14:textId="77777777" w:rsidR="00F43A38" w:rsidRPr="000870A6" w:rsidRDefault="00F43A38" w:rsidP="00F43A38">
      <w:pPr>
        <w:spacing w:after="0"/>
        <w:rPr>
          <w:rFonts w:cstheme="minorHAnsi"/>
          <w:sz w:val="24"/>
          <w:szCs w:val="24"/>
        </w:rPr>
      </w:pPr>
    </w:p>
    <w:p w14:paraId="78910D9C" w14:textId="77777777" w:rsidR="00F43A38" w:rsidRPr="000870A6" w:rsidRDefault="00F43A38" w:rsidP="00F43A38">
      <w:pPr>
        <w:spacing w:after="0"/>
        <w:rPr>
          <w:rFonts w:cstheme="minorHAnsi"/>
          <w:sz w:val="24"/>
          <w:szCs w:val="24"/>
        </w:rPr>
      </w:pPr>
      <w:r w:rsidRPr="000870A6">
        <w:rPr>
          <w:rFonts w:cstheme="minorHAnsi"/>
          <w:sz w:val="24"/>
          <w:szCs w:val="24"/>
        </w:rPr>
        <w:t>INVESTMENT OBJECTIVE:</w:t>
      </w:r>
    </w:p>
    <w:p w14:paraId="6FC416CD" w14:textId="77777777" w:rsidR="00F43A38" w:rsidRPr="000870A6" w:rsidRDefault="00F43A38" w:rsidP="00F43A38">
      <w:pPr>
        <w:spacing w:after="0"/>
        <w:rPr>
          <w:rFonts w:cstheme="minorHAnsi"/>
          <w:sz w:val="24"/>
          <w:szCs w:val="24"/>
        </w:rPr>
      </w:pPr>
    </w:p>
    <w:p w14:paraId="50AB9D80" w14:textId="77777777" w:rsidR="00F43A38" w:rsidRPr="000870A6" w:rsidRDefault="00F43A38" w:rsidP="00F43A38">
      <w:pPr>
        <w:spacing w:after="0"/>
        <w:rPr>
          <w:rFonts w:cstheme="minorHAnsi"/>
          <w:sz w:val="24"/>
          <w:szCs w:val="24"/>
        </w:rPr>
      </w:pPr>
      <w:r w:rsidRPr="000870A6">
        <w:rPr>
          <w:rFonts w:cstheme="minorHAnsi"/>
          <w:sz w:val="24"/>
          <w:szCs w:val="24"/>
        </w:rPr>
        <w:t xml:space="preserve">All funds in the custody of the Trustees of Trust Funds will be invested to </w:t>
      </w:r>
      <w:proofErr w:type="gramStart"/>
      <w:r w:rsidRPr="000870A6">
        <w:rPr>
          <w:rFonts w:cstheme="minorHAnsi"/>
          <w:sz w:val="24"/>
          <w:szCs w:val="24"/>
        </w:rPr>
        <w:t>insure</w:t>
      </w:r>
      <w:proofErr w:type="gramEnd"/>
      <w:r w:rsidRPr="000870A6">
        <w:rPr>
          <w:rFonts w:cstheme="minorHAnsi"/>
          <w:sz w:val="24"/>
          <w:szCs w:val="24"/>
        </w:rPr>
        <w:t xml:space="preserve"> that the purchasing power of the principal is maintained, while seeking to provide a level of income sufficient to support the programs intended to be financed under the terms of the respective reserves and trusts. Within the context and limits of the foregoing statement, the Trustees will endeavor to manage the content of the investment portfolio so as to maintain an Above Average rating in Morningstar’s Sustainability Rating system.  The Trustees will work closely with the Investment Advisor to achieve this objective.</w:t>
      </w:r>
    </w:p>
    <w:p w14:paraId="62C6080C" w14:textId="77777777" w:rsidR="00F43A38" w:rsidRPr="000870A6" w:rsidRDefault="00F43A38" w:rsidP="00F43A38">
      <w:pPr>
        <w:spacing w:after="0"/>
        <w:rPr>
          <w:rFonts w:cstheme="minorHAnsi"/>
          <w:sz w:val="24"/>
          <w:szCs w:val="24"/>
        </w:rPr>
      </w:pPr>
    </w:p>
    <w:p w14:paraId="622F9850" w14:textId="77777777" w:rsidR="00F43A38" w:rsidRPr="000870A6" w:rsidRDefault="00F43A38" w:rsidP="00F43A38">
      <w:pPr>
        <w:spacing w:after="0"/>
        <w:rPr>
          <w:rFonts w:cstheme="minorHAnsi"/>
          <w:sz w:val="24"/>
          <w:szCs w:val="24"/>
        </w:rPr>
      </w:pPr>
      <w:r w:rsidRPr="000870A6">
        <w:rPr>
          <w:rFonts w:cstheme="minorHAnsi"/>
          <w:sz w:val="24"/>
          <w:szCs w:val="24"/>
        </w:rPr>
        <w:t>INVESTMENT AUTHORITY</w:t>
      </w:r>
    </w:p>
    <w:p w14:paraId="56F31ABD" w14:textId="77777777" w:rsidR="00F43A38" w:rsidRPr="000870A6" w:rsidRDefault="00F43A38" w:rsidP="00F43A38">
      <w:pPr>
        <w:spacing w:after="0"/>
        <w:rPr>
          <w:rFonts w:cstheme="minorHAnsi"/>
          <w:sz w:val="24"/>
          <w:szCs w:val="24"/>
        </w:rPr>
      </w:pPr>
    </w:p>
    <w:p w14:paraId="4755B128" w14:textId="77777777" w:rsidR="00F43A38" w:rsidRPr="000870A6" w:rsidRDefault="00F43A38" w:rsidP="00F43A38">
      <w:pPr>
        <w:spacing w:after="0"/>
        <w:rPr>
          <w:rFonts w:cstheme="minorHAnsi"/>
          <w:sz w:val="24"/>
          <w:szCs w:val="24"/>
        </w:rPr>
      </w:pPr>
      <w:r w:rsidRPr="000870A6">
        <w:rPr>
          <w:rFonts w:cstheme="minorHAnsi"/>
          <w:sz w:val="24"/>
          <w:szCs w:val="24"/>
        </w:rPr>
        <w:t>NH towns are required by RSA 31:22 to elect Trustees of Trust Funds to administer all town reserves and trusts.  The Durham Town Charter recognizes this requirement in Section 5:15. The role and duties of the Trustees are explicated in the statutory references quoted in this policy.  Additionally, RSA 31:25 addresses investment custody and RSA 31:27 addresses collective investment of reserve funds.</w:t>
      </w:r>
    </w:p>
    <w:p w14:paraId="3D7A25F8" w14:textId="77777777" w:rsidR="00F43A38" w:rsidRPr="000870A6" w:rsidRDefault="00F43A38" w:rsidP="00F43A38">
      <w:pPr>
        <w:spacing w:after="0"/>
        <w:rPr>
          <w:rFonts w:cstheme="minorHAnsi"/>
          <w:sz w:val="24"/>
          <w:szCs w:val="24"/>
        </w:rPr>
      </w:pPr>
    </w:p>
    <w:p w14:paraId="120F7E27" w14:textId="77777777" w:rsidR="00F43A38" w:rsidRPr="000870A6" w:rsidRDefault="00F43A38" w:rsidP="00F43A38">
      <w:pPr>
        <w:spacing w:after="0"/>
        <w:rPr>
          <w:rFonts w:cstheme="minorHAnsi"/>
          <w:sz w:val="24"/>
          <w:szCs w:val="24"/>
        </w:rPr>
      </w:pPr>
      <w:r w:rsidRPr="000870A6">
        <w:rPr>
          <w:rFonts w:cstheme="minorHAnsi"/>
          <w:sz w:val="24"/>
          <w:szCs w:val="24"/>
        </w:rPr>
        <w:t>RESPONSIBILITIES</w:t>
      </w:r>
    </w:p>
    <w:p w14:paraId="77675696" w14:textId="77777777" w:rsidR="00F43A38" w:rsidRPr="000870A6" w:rsidRDefault="00F43A38" w:rsidP="00F43A38">
      <w:pPr>
        <w:spacing w:after="0"/>
        <w:rPr>
          <w:rFonts w:cstheme="minorHAnsi"/>
          <w:sz w:val="24"/>
          <w:szCs w:val="24"/>
        </w:rPr>
      </w:pPr>
    </w:p>
    <w:p w14:paraId="5271B014" w14:textId="77777777" w:rsidR="00F43A38" w:rsidRPr="000870A6" w:rsidRDefault="00F43A38" w:rsidP="00F43A38">
      <w:pPr>
        <w:pStyle w:val="ListParagraph"/>
        <w:numPr>
          <w:ilvl w:val="0"/>
          <w:numId w:val="14"/>
        </w:numPr>
        <w:spacing w:after="0"/>
        <w:rPr>
          <w:rFonts w:cstheme="minorHAnsi"/>
          <w:sz w:val="24"/>
          <w:szCs w:val="24"/>
        </w:rPr>
      </w:pPr>
      <w:r w:rsidRPr="000870A6">
        <w:rPr>
          <w:rFonts w:cstheme="minorHAnsi"/>
          <w:sz w:val="24"/>
          <w:szCs w:val="24"/>
        </w:rPr>
        <w:t>Trustees of Trust Funds:  Establish the Trustee’s investment policy; supervise and evaluate the investment advisor; approve investments and allocations recommended by the investment advisor; prepare state and town reports; review and approve requests for withdrawals from trusts and reserves, and promulgate an Internal Controls policy.</w:t>
      </w:r>
    </w:p>
    <w:p w14:paraId="6E7CC535" w14:textId="77777777" w:rsidR="00F43A38" w:rsidRPr="000870A6" w:rsidRDefault="00F43A38" w:rsidP="00F43A38">
      <w:pPr>
        <w:pStyle w:val="ListParagraph"/>
        <w:numPr>
          <w:ilvl w:val="0"/>
          <w:numId w:val="14"/>
        </w:numPr>
        <w:spacing w:after="0"/>
        <w:rPr>
          <w:rFonts w:cstheme="minorHAnsi"/>
          <w:sz w:val="24"/>
          <w:szCs w:val="24"/>
        </w:rPr>
      </w:pPr>
      <w:r w:rsidRPr="000870A6">
        <w:rPr>
          <w:rFonts w:cstheme="minorHAnsi"/>
          <w:sz w:val="24"/>
          <w:szCs w:val="24"/>
        </w:rPr>
        <w:t xml:space="preserve">Chair of Trustees:  schedule and chair meetings; draft and post agendas; act as day-to-day contact for residents, Town and school officials, and the investment advisor. </w:t>
      </w:r>
    </w:p>
    <w:p w14:paraId="43A66935" w14:textId="77777777" w:rsidR="00F43A38" w:rsidRPr="000870A6" w:rsidRDefault="00F43A38" w:rsidP="00F43A38">
      <w:pPr>
        <w:pStyle w:val="ListParagraph"/>
        <w:numPr>
          <w:ilvl w:val="0"/>
          <w:numId w:val="14"/>
        </w:numPr>
        <w:spacing w:after="0"/>
        <w:rPr>
          <w:rFonts w:cstheme="minorHAnsi"/>
          <w:sz w:val="24"/>
          <w:szCs w:val="24"/>
        </w:rPr>
      </w:pPr>
      <w:r w:rsidRPr="000870A6">
        <w:rPr>
          <w:rFonts w:cstheme="minorHAnsi"/>
          <w:sz w:val="24"/>
          <w:szCs w:val="24"/>
        </w:rPr>
        <w:t>Secretary of Trustees:  prepare minutes of meetings, other correspondence.</w:t>
      </w:r>
    </w:p>
    <w:p w14:paraId="621EDFE8" w14:textId="77777777" w:rsidR="00F43A38" w:rsidRPr="000870A6" w:rsidRDefault="00F43A38" w:rsidP="00F43A38">
      <w:pPr>
        <w:pStyle w:val="ListParagraph"/>
        <w:numPr>
          <w:ilvl w:val="0"/>
          <w:numId w:val="14"/>
        </w:numPr>
        <w:spacing w:after="0"/>
        <w:rPr>
          <w:rFonts w:cstheme="minorHAnsi"/>
          <w:sz w:val="24"/>
          <w:szCs w:val="24"/>
        </w:rPr>
      </w:pPr>
      <w:r w:rsidRPr="000870A6">
        <w:rPr>
          <w:rFonts w:cstheme="minorHAnsi"/>
          <w:sz w:val="24"/>
          <w:szCs w:val="24"/>
        </w:rPr>
        <w:t xml:space="preserve">Bookkeeper: With the assistance of the Town Business Office, maintain accounting records of investments, deposits, withdrawals, remittances, transmittals, balances and supporting documentation. </w:t>
      </w:r>
    </w:p>
    <w:p w14:paraId="5580B653" w14:textId="77777777" w:rsidR="00F43A38" w:rsidRPr="000870A6" w:rsidRDefault="00F43A38" w:rsidP="00F43A38">
      <w:pPr>
        <w:pStyle w:val="ListParagraph"/>
        <w:numPr>
          <w:ilvl w:val="0"/>
          <w:numId w:val="14"/>
        </w:numPr>
        <w:spacing w:after="0"/>
        <w:rPr>
          <w:rFonts w:cstheme="minorHAnsi"/>
          <w:sz w:val="24"/>
          <w:szCs w:val="24"/>
        </w:rPr>
      </w:pPr>
      <w:r w:rsidRPr="000870A6">
        <w:rPr>
          <w:rFonts w:eastAsia="Times New Roman" w:cstheme="minorHAnsi"/>
          <w:color w:val="4F4F4F"/>
          <w:sz w:val="24"/>
          <w:szCs w:val="24"/>
        </w:rPr>
        <w:lastRenderedPageBreak/>
        <w:t xml:space="preserve">Investment advisor:  Recommend portfolio allocations and contents; track investments in portfolio for sale or replacement; provide quarterly investment forecasts for Trustee perspective; provide monthly statements; provide online internet access to investment account information; provide quarterly evaluations of portfolio performance based on the following blended benchmarks: </w:t>
      </w:r>
    </w:p>
    <w:p w14:paraId="45DF6F56" w14:textId="77777777" w:rsidR="00F43A38" w:rsidRPr="000870A6" w:rsidRDefault="00F43A38" w:rsidP="00F43A38">
      <w:pPr>
        <w:pStyle w:val="ListParagraph"/>
        <w:spacing w:after="0"/>
        <w:rPr>
          <w:rFonts w:cstheme="minorHAnsi"/>
          <w:sz w:val="24"/>
          <w:szCs w:val="24"/>
        </w:rPr>
      </w:pPr>
    </w:p>
    <w:tbl>
      <w:tblPr>
        <w:tblpPr w:leftFromText="189" w:rightFromText="189" w:bottomFromText="124" w:vertAnchor="text" w:horzAnchor="margin" w:tblpXSpec="right" w:tblpY="30"/>
        <w:tblW w:w="8720" w:type="dxa"/>
        <w:shd w:val="clear" w:color="auto" w:fill="FFFFFF"/>
        <w:tblCellMar>
          <w:left w:w="0" w:type="dxa"/>
          <w:right w:w="0" w:type="dxa"/>
        </w:tblCellMar>
        <w:tblLook w:val="0000" w:firstRow="0" w:lastRow="0" w:firstColumn="0" w:lastColumn="0" w:noHBand="0" w:noVBand="0"/>
      </w:tblPr>
      <w:tblGrid>
        <w:gridCol w:w="3325"/>
        <w:gridCol w:w="1167"/>
        <w:gridCol w:w="4228"/>
      </w:tblGrid>
      <w:tr w:rsidR="00F43A38" w:rsidRPr="000870A6" w14:paraId="657A4296" w14:textId="77777777" w:rsidTr="009D33F5">
        <w:trPr>
          <w:trHeight w:val="403"/>
        </w:trPr>
        <w:tc>
          <w:tcPr>
            <w:tcW w:w="872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BF0046" w14:textId="77777777" w:rsidR="00F43A38" w:rsidRPr="000870A6" w:rsidRDefault="00F43A38" w:rsidP="009D33F5">
            <w:pPr>
              <w:spacing w:after="0"/>
              <w:ind w:right="1656"/>
              <w:jc w:val="right"/>
              <w:textAlignment w:val="baseline"/>
              <w:rPr>
                <w:rFonts w:cstheme="minorHAnsi"/>
                <w:color w:val="4F4F4F"/>
                <w:sz w:val="24"/>
                <w:szCs w:val="24"/>
              </w:rPr>
            </w:pPr>
            <w:r w:rsidRPr="000870A6">
              <w:rPr>
                <w:rFonts w:cstheme="minorHAnsi"/>
                <w:b/>
                <w:bCs/>
                <w:color w:val="000000"/>
                <w:sz w:val="24"/>
                <w:szCs w:val="24"/>
              </w:rPr>
              <w:t>Total Portfolio Blended Benchmark "Blended Index"</w:t>
            </w:r>
          </w:p>
        </w:tc>
      </w:tr>
      <w:tr w:rsidR="00F43A38" w:rsidRPr="000870A6" w14:paraId="100A1F31" w14:textId="77777777" w:rsidTr="009D33F5">
        <w:trPr>
          <w:trHeight w:val="677"/>
        </w:trPr>
        <w:tc>
          <w:tcPr>
            <w:tcW w:w="3325" w:type="dxa"/>
            <w:tcBorders>
              <w:top w:val="nil"/>
              <w:left w:val="single" w:sz="8" w:space="0" w:color="000000"/>
              <w:bottom w:val="single" w:sz="8" w:space="0" w:color="000000"/>
              <w:right w:val="nil"/>
            </w:tcBorders>
            <w:shd w:val="clear" w:color="auto" w:fill="FFFFFF"/>
            <w:vAlign w:val="bottom"/>
            <w:hideMark/>
          </w:tcPr>
          <w:p w14:paraId="1E59676F" w14:textId="77777777" w:rsidR="00F43A38" w:rsidRPr="000870A6" w:rsidRDefault="00F43A38" w:rsidP="009D33F5">
            <w:pPr>
              <w:spacing w:after="0"/>
              <w:ind w:left="115"/>
              <w:textAlignment w:val="baseline"/>
              <w:rPr>
                <w:rFonts w:cstheme="minorHAnsi"/>
                <w:color w:val="4F4F4F"/>
                <w:sz w:val="24"/>
                <w:szCs w:val="24"/>
              </w:rPr>
            </w:pPr>
            <w:r w:rsidRPr="000870A6">
              <w:rPr>
                <w:rFonts w:cstheme="minorHAnsi"/>
                <w:color w:val="000000"/>
                <w:sz w:val="24"/>
                <w:szCs w:val="24"/>
              </w:rPr>
              <w:t>Asset Category</w:t>
            </w:r>
          </w:p>
        </w:tc>
        <w:tc>
          <w:tcPr>
            <w:tcW w:w="1167" w:type="dxa"/>
            <w:tcBorders>
              <w:top w:val="nil"/>
              <w:left w:val="nil"/>
              <w:bottom w:val="single" w:sz="8" w:space="0" w:color="000000"/>
              <w:right w:val="nil"/>
            </w:tcBorders>
            <w:shd w:val="clear" w:color="auto" w:fill="FFFFFF"/>
            <w:vAlign w:val="bottom"/>
            <w:hideMark/>
          </w:tcPr>
          <w:p w14:paraId="66E1D939" w14:textId="77777777" w:rsidR="00F43A38" w:rsidRPr="000870A6" w:rsidRDefault="00F43A38" w:rsidP="009D33F5">
            <w:pPr>
              <w:spacing w:after="0"/>
              <w:ind w:right="263"/>
              <w:jc w:val="right"/>
              <w:textAlignment w:val="baseline"/>
              <w:rPr>
                <w:rFonts w:cstheme="minorHAnsi"/>
                <w:color w:val="4F4F4F"/>
                <w:sz w:val="24"/>
                <w:szCs w:val="24"/>
              </w:rPr>
            </w:pPr>
            <w:r w:rsidRPr="000870A6">
              <w:rPr>
                <w:rFonts w:cstheme="minorHAnsi"/>
                <w:color w:val="000000"/>
                <w:sz w:val="24"/>
                <w:szCs w:val="24"/>
              </w:rPr>
              <w:t>%</w:t>
            </w:r>
          </w:p>
        </w:tc>
        <w:tc>
          <w:tcPr>
            <w:tcW w:w="4228" w:type="dxa"/>
            <w:tcBorders>
              <w:top w:val="nil"/>
              <w:left w:val="nil"/>
              <w:bottom w:val="single" w:sz="8" w:space="0" w:color="000000"/>
              <w:right w:val="single" w:sz="8" w:space="0" w:color="000000"/>
            </w:tcBorders>
            <w:shd w:val="clear" w:color="auto" w:fill="FFFFFF"/>
            <w:vAlign w:val="bottom"/>
            <w:hideMark/>
          </w:tcPr>
          <w:p w14:paraId="01575FFD" w14:textId="77777777" w:rsidR="00F43A38" w:rsidRPr="000870A6" w:rsidRDefault="00F43A38" w:rsidP="009D33F5">
            <w:pPr>
              <w:spacing w:after="0"/>
              <w:ind w:left="173"/>
              <w:textAlignment w:val="baseline"/>
              <w:rPr>
                <w:rFonts w:cstheme="minorHAnsi"/>
                <w:color w:val="4F4F4F"/>
                <w:sz w:val="24"/>
                <w:szCs w:val="24"/>
              </w:rPr>
            </w:pPr>
            <w:r w:rsidRPr="000870A6">
              <w:rPr>
                <w:rFonts w:cstheme="minorHAnsi"/>
                <w:color w:val="000000"/>
                <w:sz w:val="24"/>
                <w:szCs w:val="24"/>
              </w:rPr>
              <w:t>Index</w:t>
            </w:r>
          </w:p>
        </w:tc>
      </w:tr>
      <w:tr w:rsidR="00F43A38" w:rsidRPr="000870A6" w14:paraId="06AFECA5" w14:textId="77777777" w:rsidTr="009D33F5">
        <w:trPr>
          <w:trHeight w:val="331"/>
        </w:trPr>
        <w:tc>
          <w:tcPr>
            <w:tcW w:w="3325" w:type="dxa"/>
            <w:tcBorders>
              <w:top w:val="nil"/>
              <w:left w:val="single" w:sz="8" w:space="0" w:color="000000"/>
              <w:bottom w:val="nil"/>
              <w:right w:val="nil"/>
            </w:tcBorders>
            <w:shd w:val="clear" w:color="auto" w:fill="D9D9D9"/>
            <w:vAlign w:val="center"/>
            <w:hideMark/>
          </w:tcPr>
          <w:p w14:paraId="6F5B49B4" w14:textId="77777777" w:rsidR="00F43A38" w:rsidRPr="000870A6" w:rsidRDefault="00F43A38" w:rsidP="009D33F5">
            <w:pPr>
              <w:spacing w:after="0"/>
              <w:ind w:left="115"/>
              <w:textAlignment w:val="baseline"/>
              <w:rPr>
                <w:rFonts w:cstheme="minorHAnsi"/>
                <w:color w:val="4F4F4F"/>
                <w:sz w:val="24"/>
                <w:szCs w:val="24"/>
              </w:rPr>
            </w:pPr>
            <w:r w:rsidRPr="000870A6">
              <w:rPr>
                <w:rFonts w:cstheme="minorHAnsi"/>
                <w:color w:val="000000"/>
                <w:sz w:val="24"/>
                <w:szCs w:val="24"/>
              </w:rPr>
              <w:t>Total Equity Benchmark</w:t>
            </w:r>
          </w:p>
        </w:tc>
        <w:tc>
          <w:tcPr>
            <w:tcW w:w="1167" w:type="dxa"/>
            <w:tcBorders>
              <w:top w:val="nil"/>
              <w:left w:val="nil"/>
              <w:bottom w:val="nil"/>
              <w:right w:val="nil"/>
            </w:tcBorders>
            <w:shd w:val="clear" w:color="auto" w:fill="D9D9D9"/>
            <w:vAlign w:val="center"/>
            <w:hideMark/>
          </w:tcPr>
          <w:p w14:paraId="1C277EDC" w14:textId="77777777" w:rsidR="00F43A38" w:rsidRPr="000870A6" w:rsidRDefault="00F43A38" w:rsidP="009D33F5">
            <w:pPr>
              <w:spacing w:after="0"/>
              <w:ind w:right="173"/>
              <w:jc w:val="right"/>
              <w:textAlignment w:val="baseline"/>
              <w:rPr>
                <w:rFonts w:cstheme="minorHAnsi"/>
                <w:color w:val="4F4F4F"/>
                <w:sz w:val="24"/>
                <w:szCs w:val="24"/>
              </w:rPr>
            </w:pPr>
            <w:r w:rsidRPr="000870A6">
              <w:rPr>
                <w:rFonts w:cstheme="minorHAnsi"/>
                <w:color w:val="000000"/>
                <w:sz w:val="24"/>
                <w:szCs w:val="24"/>
              </w:rPr>
              <w:t>15%</w:t>
            </w:r>
          </w:p>
        </w:tc>
        <w:tc>
          <w:tcPr>
            <w:tcW w:w="4228" w:type="dxa"/>
            <w:tcBorders>
              <w:top w:val="nil"/>
              <w:left w:val="nil"/>
              <w:bottom w:val="nil"/>
              <w:right w:val="single" w:sz="8" w:space="0" w:color="000000"/>
            </w:tcBorders>
            <w:shd w:val="clear" w:color="auto" w:fill="D9D9D9"/>
            <w:vAlign w:val="center"/>
            <w:hideMark/>
          </w:tcPr>
          <w:p w14:paraId="323A6E8D" w14:textId="77777777" w:rsidR="00F43A38" w:rsidRPr="000870A6" w:rsidRDefault="00F43A38" w:rsidP="009D33F5">
            <w:pPr>
              <w:spacing w:after="0"/>
              <w:ind w:left="173"/>
              <w:textAlignment w:val="baseline"/>
              <w:rPr>
                <w:rFonts w:cstheme="minorHAnsi"/>
                <w:color w:val="4F4F4F"/>
                <w:sz w:val="24"/>
                <w:szCs w:val="24"/>
              </w:rPr>
            </w:pPr>
            <w:r w:rsidRPr="000870A6">
              <w:rPr>
                <w:rFonts w:cstheme="minorHAnsi"/>
                <w:color w:val="000000"/>
                <w:sz w:val="24"/>
                <w:szCs w:val="24"/>
              </w:rPr>
              <w:t>See Below           </w:t>
            </w:r>
            <w:r w:rsidRPr="000870A6">
              <w:rPr>
                <w:rFonts w:cstheme="minorHAnsi"/>
                <w:i/>
                <w:iCs/>
                <w:color w:val="000000"/>
                <w:sz w:val="24"/>
                <w:szCs w:val="24"/>
              </w:rPr>
              <w:t>*** 20% Cemetery</w:t>
            </w:r>
          </w:p>
        </w:tc>
      </w:tr>
      <w:tr w:rsidR="00F43A38" w:rsidRPr="000870A6" w14:paraId="02E3E9FE" w14:textId="77777777" w:rsidTr="009D33F5">
        <w:trPr>
          <w:trHeight w:val="312"/>
        </w:trPr>
        <w:tc>
          <w:tcPr>
            <w:tcW w:w="3325" w:type="dxa"/>
            <w:tcBorders>
              <w:top w:val="nil"/>
              <w:left w:val="single" w:sz="8" w:space="0" w:color="000000"/>
              <w:bottom w:val="nil"/>
              <w:right w:val="nil"/>
            </w:tcBorders>
            <w:shd w:val="clear" w:color="auto" w:fill="FFFFFF"/>
            <w:vAlign w:val="center"/>
            <w:hideMark/>
          </w:tcPr>
          <w:p w14:paraId="26162C1E" w14:textId="77777777" w:rsidR="00F43A38" w:rsidRPr="000870A6" w:rsidRDefault="00F43A38" w:rsidP="009D33F5">
            <w:pPr>
              <w:spacing w:after="0"/>
              <w:ind w:left="115"/>
              <w:textAlignment w:val="baseline"/>
              <w:rPr>
                <w:rFonts w:cstheme="minorHAnsi"/>
                <w:color w:val="4F4F4F"/>
                <w:sz w:val="24"/>
                <w:szCs w:val="24"/>
              </w:rPr>
            </w:pPr>
            <w:r w:rsidRPr="000870A6">
              <w:rPr>
                <w:rFonts w:cstheme="minorHAnsi"/>
                <w:color w:val="000000"/>
                <w:sz w:val="24"/>
                <w:szCs w:val="24"/>
              </w:rPr>
              <w:t>Total Fixed Income Benchmark</w:t>
            </w:r>
          </w:p>
        </w:tc>
        <w:tc>
          <w:tcPr>
            <w:tcW w:w="1167" w:type="dxa"/>
            <w:shd w:val="clear" w:color="auto" w:fill="FFFFFF"/>
            <w:vAlign w:val="center"/>
            <w:hideMark/>
          </w:tcPr>
          <w:p w14:paraId="3BA73AE3" w14:textId="77777777" w:rsidR="00F43A38" w:rsidRPr="000870A6" w:rsidRDefault="00F43A38" w:rsidP="009D33F5">
            <w:pPr>
              <w:spacing w:after="0"/>
              <w:ind w:right="173"/>
              <w:jc w:val="right"/>
              <w:textAlignment w:val="baseline"/>
              <w:rPr>
                <w:rFonts w:cstheme="minorHAnsi"/>
                <w:color w:val="4F4F4F"/>
                <w:sz w:val="24"/>
                <w:szCs w:val="24"/>
              </w:rPr>
            </w:pPr>
            <w:r w:rsidRPr="000870A6">
              <w:rPr>
                <w:rFonts w:cstheme="minorHAnsi"/>
                <w:color w:val="000000"/>
                <w:sz w:val="24"/>
                <w:szCs w:val="24"/>
              </w:rPr>
              <w:t>80%</w:t>
            </w:r>
          </w:p>
        </w:tc>
        <w:tc>
          <w:tcPr>
            <w:tcW w:w="4228" w:type="dxa"/>
            <w:tcBorders>
              <w:top w:val="nil"/>
              <w:left w:val="nil"/>
              <w:bottom w:val="nil"/>
              <w:right w:val="single" w:sz="8" w:space="0" w:color="000000"/>
            </w:tcBorders>
            <w:shd w:val="clear" w:color="auto" w:fill="FFFFFF"/>
            <w:vAlign w:val="center"/>
            <w:hideMark/>
          </w:tcPr>
          <w:p w14:paraId="198AF4F4" w14:textId="77777777" w:rsidR="00F43A38" w:rsidRPr="000870A6" w:rsidRDefault="00F43A38" w:rsidP="009D33F5">
            <w:pPr>
              <w:spacing w:after="0"/>
              <w:ind w:left="173"/>
              <w:textAlignment w:val="baseline"/>
              <w:rPr>
                <w:rFonts w:cstheme="minorHAnsi"/>
                <w:color w:val="4F4F4F"/>
                <w:sz w:val="24"/>
                <w:szCs w:val="24"/>
              </w:rPr>
            </w:pPr>
            <w:r w:rsidRPr="000870A6">
              <w:rPr>
                <w:rFonts w:cstheme="minorHAnsi"/>
                <w:color w:val="000000"/>
                <w:sz w:val="24"/>
                <w:szCs w:val="24"/>
              </w:rPr>
              <w:t>See Below           </w:t>
            </w:r>
            <w:r w:rsidRPr="000870A6">
              <w:rPr>
                <w:rFonts w:cstheme="minorHAnsi"/>
                <w:i/>
                <w:iCs/>
                <w:color w:val="000000"/>
                <w:sz w:val="24"/>
                <w:szCs w:val="24"/>
              </w:rPr>
              <w:t>*** 75% Cemetery</w:t>
            </w:r>
          </w:p>
        </w:tc>
      </w:tr>
      <w:tr w:rsidR="00F43A38" w:rsidRPr="000870A6" w14:paraId="3AB34195" w14:textId="77777777" w:rsidTr="009D33F5">
        <w:trPr>
          <w:trHeight w:val="312"/>
        </w:trPr>
        <w:tc>
          <w:tcPr>
            <w:tcW w:w="3325" w:type="dxa"/>
            <w:tcBorders>
              <w:top w:val="nil"/>
              <w:left w:val="single" w:sz="8" w:space="0" w:color="000000"/>
              <w:bottom w:val="single" w:sz="8" w:space="0" w:color="000000"/>
              <w:right w:val="nil"/>
            </w:tcBorders>
            <w:shd w:val="clear" w:color="auto" w:fill="D0CECE" w:themeFill="background2" w:themeFillShade="E6"/>
            <w:vAlign w:val="center"/>
            <w:hideMark/>
          </w:tcPr>
          <w:p w14:paraId="7C947555" w14:textId="77777777" w:rsidR="00F43A38" w:rsidRPr="000870A6" w:rsidRDefault="00F43A38" w:rsidP="009D33F5">
            <w:pPr>
              <w:spacing w:after="0"/>
              <w:ind w:left="115"/>
              <w:textAlignment w:val="baseline"/>
              <w:rPr>
                <w:rFonts w:cstheme="minorHAnsi"/>
                <w:color w:val="4F4F4F"/>
                <w:sz w:val="24"/>
                <w:szCs w:val="24"/>
              </w:rPr>
            </w:pPr>
            <w:r w:rsidRPr="000870A6">
              <w:rPr>
                <w:rFonts w:cstheme="minorHAnsi"/>
                <w:color w:val="000000"/>
                <w:sz w:val="24"/>
                <w:szCs w:val="24"/>
              </w:rPr>
              <w:t>Cash</w:t>
            </w:r>
          </w:p>
        </w:tc>
        <w:tc>
          <w:tcPr>
            <w:tcW w:w="1167" w:type="dxa"/>
            <w:tcBorders>
              <w:top w:val="nil"/>
              <w:left w:val="nil"/>
              <w:bottom w:val="single" w:sz="8" w:space="0" w:color="000000"/>
              <w:right w:val="nil"/>
            </w:tcBorders>
            <w:shd w:val="clear" w:color="auto" w:fill="D0CECE" w:themeFill="background2" w:themeFillShade="E6"/>
            <w:vAlign w:val="center"/>
            <w:hideMark/>
          </w:tcPr>
          <w:p w14:paraId="666649B2" w14:textId="77777777" w:rsidR="00F43A38" w:rsidRPr="000870A6" w:rsidRDefault="00F43A38" w:rsidP="009D33F5">
            <w:pPr>
              <w:spacing w:after="0"/>
              <w:ind w:right="263"/>
              <w:jc w:val="right"/>
              <w:textAlignment w:val="baseline"/>
              <w:rPr>
                <w:rFonts w:cstheme="minorHAnsi"/>
                <w:color w:val="4F4F4F"/>
                <w:sz w:val="24"/>
                <w:szCs w:val="24"/>
              </w:rPr>
            </w:pPr>
            <w:r w:rsidRPr="000870A6">
              <w:rPr>
                <w:rFonts w:cstheme="minorHAnsi"/>
                <w:color w:val="000000"/>
                <w:sz w:val="24"/>
                <w:szCs w:val="24"/>
              </w:rPr>
              <w:t>5%</w:t>
            </w:r>
          </w:p>
        </w:tc>
        <w:tc>
          <w:tcPr>
            <w:tcW w:w="4228" w:type="dxa"/>
            <w:tcBorders>
              <w:top w:val="nil"/>
              <w:left w:val="nil"/>
              <w:bottom w:val="single" w:sz="8" w:space="0" w:color="000000"/>
              <w:right w:val="single" w:sz="8" w:space="0" w:color="000000"/>
            </w:tcBorders>
            <w:shd w:val="clear" w:color="auto" w:fill="D0CECE" w:themeFill="background2" w:themeFillShade="E6"/>
            <w:vAlign w:val="center"/>
            <w:hideMark/>
          </w:tcPr>
          <w:p w14:paraId="7D262054" w14:textId="77777777" w:rsidR="00F43A38" w:rsidRPr="000870A6" w:rsidRDefault="00F43A38" w:rsidP="009D33F5">
            <w:pPr>
              <w:spacing w:after="0"/>
              <w:textAlignment w:val="baseline"/>
              <w:rPr>
                <w:rFonts w:cstheme="minorHAnsi"/>
                <w:color w:val="4F4F4F"/>
                <w:sz w:val="24"/>
                <w:szCs w:val="24"/>
              </w:rPr>
            </w:pPr>
            <w:r w:rsidRPr="000870A6">
              <w:rPr>
                <w:rFonts w:cstheme="minorHAnsi"/>
                <w:color w:val="000000"/>
                <w:sz w:val="24"/>
                <w:szCs w:val="24"/>
              </w:rPr>
              <w:t xml:space="preserve">   3 Month T-bill</w:t>
            </w:r>
          </w:p>
        </w:tc>
      </w:tr>
      <w:tr w:rsidR="00F43A38" w:rsidRPr="000870A6" w14:paraId="5BC1FF6B" w14:textId="77777777" w:rsidTr="009D33F5">
        <w:trPr>
          <w:trHeight w:val="322"/>
        </w:trPr>
        <w:tc>
          <w:tcPr>
            <w:tcW w:w="3325" w:type="dxa"/>
            <w:tcBorders>
              <w:top w:val="nil"/>
              <w:left w:val="single" w:sz="8" w:space="0" w:color="000000"/>
              <w:bottom w:val="single" w:sz="8" w:space="0" w:color="000000"/>
              <w:right w:val="nil"/>
            </w:tcBorders>
            <w:shd w:val="clear" w:color="auto" w:fill="FFFFFF"/>
            <w:vAlign w:val="center"/>
            <w:hideMark/>
          </w:tcPr>
          <w:p w14:paraId="09E7CFC4" w14:textId="77777777" w:rsidR="00F43A38" w:rsidRPr="000870A6" w:rsidRDefault="00F43A38" w:rsidP="009D33F5">
            <w:pPr>
              <w:spacing w:after="0"/>
              <w:ind w:left="115"/>
              <w:textAlignment w:val="baseline"/>
              <w:rPr>
                <w:rFonts w:cstheme="minorHAnsi"/>
                <w:color w:val="4F4F4F"/>
                <w:sz w:val="24"/>
                <w:szCs w:val="24"/>
              </w:rPr>
            </w:pPr>
            <w:r w:rsidRPr="000870A6">
              <w:rPr>
                <w:rFonts w:cstheme="minorHAnsi"/>
                <w:i/>
                <w:iCs/>
                <w:color w:val="000000"/>
                <w:sz w:val="24"/>
                <w:szCs w:val="24"/>
              </w:rPr>
              <w:t>Total</w:t>
            </w:r>
          </w:p>
        </w:tc>
        <w:tc>
          <w:tcPr>
            <w:tcW w:w="1167" w:type="dxa"/>
            <w:tcBorders>
              <w:top w:val="nil"/>
              <w:left w:val="nil"/>
              <w:bottom w:val="single" w:sz="8" w:space="0" w:color="000000"/>
              <w:right w:val="nil"/>
            </w:tcBorders>
            <w:shd w:val="clear" w:color="auto" w:fill="FFFFFF"/>
            <w:vAlign w:val="center"/>
            <w:hideMark/>
          </w:tcPr>
          <w:p w14:paraId="1D1A557E" w14:textId="77777777" w:rsidR="00F43A38" w:rsidRPr="000870A6" w:rsidRDefault="00F43A38" w:rsidP="009D33F5">
            <w:pPr>
              <w:spacing w:after="0"/>
              <w:ind w:right="263"/>
              <w:jc w:val="right"/>
              <w:textAlignment w:val="baseline"/>
              <w:rPr>
                <w:rFonts w:cstheme="minorHAnsi"/>
                <w:color w:val="4F4F4F"/>
                <w:sz w:val="24"/>
                <w:szCs w:val="24"/>
              </w:rPr>
            </w:pPr>
            <w:r w:rsidRPr="000870A6">
              <w:rPr>
                <w:rFonts w:cstheme="minorHAnsi"/>
                <w:i/>
                <w:iCs/>
                <w:color w:val="000000"/>
                <w:sz w:val="24"/>
                <w:szCs w:val="24"/>
              </w:rPr>
              <w:t>100%</w:t>
            </w:r>
          </w:p>
        </w:tc>
        <w:tc>
          <w:tcPr>
            <w:tcW w:w="4228" w:type="dxa"/>
            <w:tcBorders>
              <w:top w:val="nil"/>
              <w:left w:val="nil"/>
              <w:bottom w:val="single" w:sz="8" w:space="0" w:color="000000"/>
              <w:right w:val="single" w:sz="8" w:space="0" w:color="000000"/>
            </w:tcBorders>
            <w:shd w:val="clear" w:color="auto" w:fill="FFFFFF"/>
            <w:hideMark/>
          </w:tcPr>
          <w:p w14:paraId="164E7A99" w14:textId="77777777" w:rsidR="00F43A38" w:rsidRPr="000870A6" w:rsidRDefault="00F43A38" w:rsidP="009D33F5">
            <w:pPr>
              <w:spacing w:after="0"/>
              <w:rPr>
                <w:rFonts w:cstheme="minorHAnsi"/>
                <w:color w:val="4F4F4F"/>
                <w:sz w:val="24"/>
                <w:szCs w:val="24"/>
              </w:rPr>
            </w:pPr>
          </w:p>
        </w:tc>
      </w:tr>
    </w:tbl>
    <w:p w14:paraId="3C70A2C8" w14:textId="77777777" w:rsidR="00F43A38" w:rsidRPr="000870A6" w:rsidRDefault="00F43A38" w:rsidP="00F43A38">
      <w:pPr>
        <w:pStyle w:val="ListParagraph"/>
        <w:spacing w:after="0"/>
        <w:rPr>
          <w:rFonts w:cstheme="minorHAnsi"/>
          <w:sz w:val="24"/>
          <w:szCs w:val="24"/>
        </w:rPr>
      </w:pPr>
    </w:p>
    <w:tbl>
      <w:tblPr>
        <w:tblpPr w:leftFromText="189" w:rightFromText="189" w:bottomFromText="124" w:vertAnchor="text" w:horzAnchor="margin" w:tblpXSpec="right" w:tblpY="560"/>
        <w:tblW w:w="8730" w:type="dxa"/>
        <w:shd w:val="clear" w:color="auto" w:fill="FFFFFF"/>
        <w:tblLayout w:type="fixed"/>
        <w:tblCellMar>
          <w:left w:w="0" w:type="dxa"/>
          <w:right w:w="0" w:type="dxa"/>
        </w:tblCellMar>
        <w:tblLook w:val="04A0" w:firstRow="1" w:lastRow="0" w:firstColumn="1" w:lastColumn="0" w:noHBand="0" w:noVBand="1"/>
      </w:tblPr>
      <w:tblGrid>
        <w:gridCol w:w="1926"/>
        <w:gridCol w:w="1517"/>
        <w:gridCol w:w="5287"/>
      </w:tblGrid>
      <w:tr w:rsidR="00F43A38" w:rsidRPr="000870A6" w14:paraId="298196D4" w14:textId="77777777" w:rsidTr="009D33F5">
        <w:trPr>
          <w:trHeight w:val="520"/>
        </w:trPr>
        <w:tc>
          <w:tcPr>
            <w:tcW w:w="1926" w:type="dxa"/>
            <w:vMerge w:val="restart"/>
            <w:tcBorders>
              <w:top w:val="single" w:sz="8" w:space="0" w:color="000000"/>
              <w:left w:val="single" w:sz="8" w:space="0" w:color="000000"/>
              <w:bottom w:val="single" w:sz="8" w:space="0" w:color="000000"/>
              <w:right w:val="nil"/>
            </w:tcBorders>
            <w:shd w:val="clear" w:color="auto" w:fill="FFFFFF"/>
            <w:vAlign w:val="bottom"/>
            <w:hideMark/>
          </w:tcPr>
          <w:p w14:paraId="4821B69C" w14:textId="77777777" w:rsidR="00F43A38" w:rsidRPr="000870A6" w:rsidRDefault="00F43A38" w:rsidP="009D33F5">
            <w:pPr>
              <w:spacing w:after="0"/>
              <w:ind w:left="120"/>
              <w:textAlignment w:val="baseline"/>
              <w:rPr>
                <w:rFonts w:cstheme="minorHAnsi"/>
                <w:color w:val="4F4F4F"/>
                <w:sz w:val="24"/>
                <w:szCs w:val="24"/>
              </w:rPr>
            </w:pPr>
            <w:r w:rsidRPr="000870A6">
              <w:rPr>
                <w:rFonts w:cstheme="minorHAnsi"/>
                <w:color w:val="000000"/>
                <w:sz w:val="24"/>
                <w:szCs w:val="24"/>
              </w:rPr>
              <w:t>Stock Category</w:t>
            </w:r>
          </w:p>
        </w:tc>
        <w:tc>
          <w:tcPr>
            <w:tcW w:w="6804" w:type="dxa"/>
            <w:gridSpan w:val="2"/>
            <w:tcBorders>
              <w:top w:val="single" w:sz="8" w:space="0" w:color="000000"/>
              <w:left w:val="nil"/>
              <w:bottom w:val="single" w:sz="8" w:space="0" w:color="000000"/>
              <w:right w:val="single" w:sz="8" w:space="0" w:color="000000"/>
            </w:tcBorders>
            <w:shd w:val="clear" w:color="auto" w:fill="FFFFFF"/>
            <w:vAlign w:val="center"/>
            <w:hideMark/>
          </w:tcPr>
          <w:p w14:paraId="50676459" w14:textId="77777777" w:rsidR="00F43A38" w:rsidRPr="000870A6" w:rsidRDefault="00F43A38" w:rsidP="009D33F5">
            <w:pPr>
              <w:spacing w:after="0"/>
              <w:ind w:right="3593"/>
              <w:jc w:val="right"/>
              <w:textAlignment w:val="baseline"/>
              <w:rPr>
                <w:rFonts w:cstheme="minorHAnsi"/>
                <w:color w:val="4F4F4F"/>
                <w:sz w:val="24"/>
                <w:szCs w:val="24"/>
                <w:u w:val="single"/>
              </w:rPr>
            </w:pPr>
            <w:r w:rsidRPr="000870A6">
              <w:rPr>
                <w:rFonts w:cstheme="minorHAnsi"/>
                <w:b/>
                <w:bCs/>
                <w:color w:val="000000"/>
                <w:sz w:val="24"/>
                <w:szCs w:val="24"/>
                <w:u w:val="single"/>
              </w:rPr>
              <w:t>Total Equity Benchmark</w:t>
            </w:r>
          </w:p>
        </w:tc>
      </w:tr>
      <w:tr w:rsidR="00F43A38" w:rsidRPr="000870A6" w14:paraId="0A75331A" w14:textId="77777777" w:rsidTr="009D33F5">
        <w:trPr>
          <w:trHeight w:val="711"/>
        </w:trPr>
        <w:tc>
          <w:tcPr>
            <w:tcW w:w="1926" w:type="dxa"/>
            <w:vMerge/>
            <w:tcBorders>
              <w:top w:val="single" w:sz="8" w:space="0" w:color="000000"/>
              <w:left w:val="single" w:sz="8" w:space="0" w:color="000000"/>
              <w:bottom w:val="single" w:sz="8" w:space="0" w:color="000000"/>
              <w:right w:val="nil"/>
            </w:tcBorders>
            <w:shd w:val="clear" w:color="auto" w:fill="FFFFFF"/>
            <w:vAlign w:val="center"/>
            <w:hideMark/>
          </w:tcPr>
          <w:p w14:paraId="6B841D74" w14:textId="77777777" w:rsidR="00F43A38" w:rsidRPr="000870A6" w:rsidRDefault="00F43A38" w:rsidP="009D33F5">
            <w:pPr>
              <w:spacing w:after="0"/>
              <w:rPr>
                <w:rFonts w:cstheme="minorHAnsi"/>
                <w:color w:val="4F4F4F"/>
                <w:sz w:val="24"/>
                <w:szCs w:val="24"/>
              </w:rPr>
            </w:pPr>
          </w:p>
        </w:tc>
        <w:tc>
          <w:tcPr>
            <w:tcW w:w="6804" w:type="dxa"/>
            <w:gridSpan w:val="2"/>
            <w:tcBorders>
              <w:top w:val="single" w:sz="8" w:space="0" w:color="000000"/>
              <w:left w:val="nil"/>
              <w:bottom w:val="single" w:sz="8" w:space="0" w:color="000000"/>
              <w:right w:val="single" w:sz="8" w:space="0" w:color="000000"/>
            </w:tcBorders>
            <w:shd w:val="clear" w:color="auto" w:fill="FFFFFF"/>
            <w:vAlign w:val="bottom"/>
            <w:hideMark/>
          </w:tcPr>
          <w:p w14:paraId="466ACE32" w14:textId="77777777" w:rsidR="00F43A38" w:rsidRPr="000870A6" w:rsidRDefault="00F43A38" w:rsidP="009D33F5">
            <w:pPr>
              <w:spacing w:after="0"/>
              <w:ind w:left="1008"/>
              <w:textAlignment w:val="baseline"/>
              <w:rPr>
                <w:rFonts w:cstheme="minorHAnsi"/>
                <w:color w:val="4F4F4F"/>
                <w:sz w:val="24"/>
                <w:szCs w:val="24"/>
              </w:rPr>
            </w:pPr>
            <w:r w:rsidRPr="000870A6">
              <w:rPr>
                <w:rFonts w:cstheme="minorHAnsi"/>
                <w:color w:val="000000"/>
                <w:sz w:val="24"/>
                <w:szCs w:val="24"/>
              </w:rPr>
              <w:t>%                                  Index</w:t>
            </w:r>
          </w:p>
        </w:tc>
      </w:tr>
      <w:tr w:rsidR="00F43A38" w:rsidRPr="000870A6" w14:paraId="6ADA799B" w14:textId="77777777" w:rsidTr="009D33F5">
        <w:trPr>
          <w:trHeight w:val="345"/>
        </w:trPr>
        <w:tc>
          <w:tcPr>
            <w:tcW w:w="1926" w:type="dxa"/>
            <w:tcBorders>
              <w:top w:val="nil"/>
              <w:left w:val="single" w:sz="8" w:space="0" w:color="000000"/>
              <w:bottom w:val="nil"/>
              <w:right w:val="nil"/>
            </w:tcBorders>
            <w:shd w:val="clear" w:color="auto" w:fill="D9D9D9"/>
            <w:vAlign w:val="center"/>
            <w:hideMark/>
          </w:tcPr>
          <w:p w14:paraId="4D36253E" w14:textId="77777777" w:rsidR="00F43A38" w:rsidRPr="000870A6" w:rsidRDefault="00F43A38" w:rsidP="009D33F5">
            <w:pPr>
              <w:spacing w:after="0"/>
              <w:ind w:left="120"/>
              <w:textAlignment w:val="baseline"/>
              <w:rPr>
                <w:rFonts w:cstheme="minorHAnsi"/>
                <w:color w:val="4F4F4F"/>
                <w:sz w:val="24"/>
                <w:szCs w:val="24"/>
              </w:rPr>
            </w:pPr>
            <w:r w:rsidRPr="000870A6">
              <w:rPr>
                <w:rFonts w:cstheme="minorHAnsi"/>
                <w:color w:val="000000"/>
                <w:sz w:val="24"/>
                <w:szCs w:val="24"/>
              </w:rPr>
              <w:t xml:space="preserve">U.S. Large-cap </w:t>
            </w:r>
          </w:p>
        </w:tc>
        <w:tc>
          <w:tcPr>
            <w:tcW w:w="1517" w:type="dxa"/>
            <w:tcBorders>
              <w:top w:val="nil"/>
              <w:left w:val="nil"/>
              <w:bottom w:val="nil"/>
              <w:right w:val="nil"/>
            </w:tcBorders>
            <w:shd w:val="clear" w:color="auto" w:fill="D9D9D9"/>
            <w:vAlign w:val="center"/>
            <w:hideMark/>
          </w:tcPr>
          <w:p w14:paraId="313F893A" w14:textId="77777777" w:rsidR="00F43A38" w:rsidRPr="000870A6" w:rsidRDefault="00F43A38" w:rsidP="009D33F5">
            <w:pPr>
              <w:spacing w:after="0"/>
              <w:ind w:right="173"/>
              <w:jc w:val="right"/>
              <w:textAlignment w:val="baseline"/>
              <w:rPr>
                <w:rFonts w:cstheme="minorHAnsi"/>
                <w:color w:val="4F4F4F"/>
                <w:sz w:val="24"/>
                <w:szCs w:val="24"/>
              </w:rPr>
            </w:pPr>
            <w:r w:rsidRPr="000870A6">
              <w:rPr>
                <w:rFonts w:cstheme="minorHAnsi"/>
                <w:color w:val="000000"/>
                <w:sz w:val="24"/>
                <w:szCs w:val="24"/>
              </w:rPr>
              <w:t>49%</w:t>
            </w:r>
          </w:p>
        </w:tc>
        <w:tc>
          <w:tcPr>
            <w:tcW w:w="5287" w:type="dxa"/>
            <w:tcBorders>
              <w:top w:val="nil"/>
              <w:left w:val="nil"/>
              <w:bottom w:val="nil"/>
              <w:right w:val="single" w:sz="8" w:space="0" w:color="000000"/>
            </w:tcBorders>
            <w:shd w:val="clear" w:color="auto" w:fill="D9D9D9"/>
            <w:vAlign w:val="center"/>
            <w:hideMark/>
          </w:tcPr>
          <w:p w14:paraId="6D803768" w14:textId="77777777" w:rsidR="00F43A38" w:rsidRPr="000870A6" w:rsidRDefault="00F43A38" w:rsidP="009D33F5">
            <w:pPr>
              <w:spacing w:after="0"/>
              <w:ind w:left="173"/>
              <w:textAlignment w:val="baseline"/>
              <w:rPr>
                <w:rFonts w:cstheme="minorHAnsi"/>
                <w:color w:val="4F4F4F"/>
                <w:sz w:val="24"/>
                <w:szCs w:val="24"/>
              </w:rPr>
            </w:pPr>
            <w:r w:rsidRPr="000870A6">
              <w:rPr>
                <w:rFonts w:cstheme="minorHAnsi"/>
                <w:color w:val="000000"/>
                <w:sz w:val="24"/>
                <w:szCs w:val="24"/>
              </w:rPr>
              <w:t xml:space="preserve">             S&amp;P 500 Large-cap Index</w:t>
            </w:r>
          </w:p>
        </w:tc>
      </w:tr>
      <w:tr w:rsidR="00F43A38" w:rsidRPr="000870A6" w14:paraId="68264F66" w14:textId="77777777" w:rsidTr="009D33F5">
        <w:trPr>
          <w:trHeight w:val="336"/>
        </w:trPr>
        <w:tc>
          <w:tcPr>
            <w:tcW w:w="1926" w:type="dxa"/>
            <w:tcBorders>
              <w:top w:val="nil"/>
              <w:left w:val="single" w:sz="8" w:space="0" w:color="000000"/>
              <w:bottom w:val="nil"/>
              <w:right w:val="nil"/>
            </w:tcBorders>
            <w:shd w:val="clear" w:color="auto" w:fill="FFFFFF"/>
            <w:vAlign w:val="center"/>
            <w:hideMark/>
          </w:tcPr>
          <w:p w14:paraId="5A780DA4" w14:textId="77777777" w:rsidR="00F43A38" w:rsidRPr="000870A6" w:rsidRDefault="00F43A38" w:rsidP="009D33F5">
            <w:pPr>
              <w:spacing w:after="0"/>
              <w:ind w:left="120"/>
              <w:textAlignment w:val="baseline"/>
              <w:rPr>
                <w:rFonts w:cstheme="minorHAnsi"/>
                <w:color w:val="4F4F4F"/>
                <w:sz w:val="24"/>
                <w:szCs w:val="24"/>
              </w:rPr>
            </w:pPr>
            <w:r w:rsidRPr="000870A6">
              <w:rPr>
                <w:rFonts w:cstheme="minorHAnsi"/>
                <w:color w:val="000000"/>
                <w:sz w:val="24"/>
                <w:szCs w:val="24"/>
              </w:rPr>
              <w:t>U.S. Mid-cap</w:t>
            </w:r>
          </w:p>
        </w:tc>
        <w:tc>
          <w:tcPr>
            <w:tcW w:w="1517" w:type="dxa"/>
            <w:shd w:val="clear" w:color="auto" w:fill="FFFFFF"/>
            <w:vAlign w:val="center"/>
            <w:hideMark/>
          </w:tcPr>
          <w:p w14:paraId="4AB040CB" w14:textId="77777777" w:rsidR="00F43A38" w:rsidRPr="000870A6" w:rsidRDefault="00F43A38" w:rsidP="009D33F5">
            <w:pPr>
              <w:spacing w:after="0"/>
              <w:ind w:right="173"/>
              <w:jc w:val="right"/>
              <w:textAlignment w:val="baseline"/>
              <w:rPr>
                <w:rFonts w:cstheme="minorHAnsi"/>
                <w:color w:val="4F4F4F"/>
                <w:sz w:val="24"/>
                <w:szCs w:val="24"/>
              </w:rPr>
            </w:pPr>
            <w:r w:rsidRPr="000870A6">
              <w:rPr>
                <w:rFonts w:cstheme="minorHAnsi"/>
                <w:color w:val="000000"/>
                <w:sz w:val="24"/>
                <w:szCs w:val="24"/>
              </w:rPr>
              <w:t>14%</w:t>
            </w:r>
          </w:p>
        </w:tc>
        <w:tc>
          <w:tcPr>
            <w:tcW w:w="5287" w:type="dxa"/>
            <w:tcBorders>
              <w:top w:val="nil"/>
              <w:left w:val="nil"/>
              <w:bottom w:val="nil"/>
              <w:right w:val="single" w:sz="8" w:space="0" w:color="000000"/>
            </w:tcBorders>
            <w:shd w:val="clear" w:color="auto" w:fill="FFFFFF"/>
            <w:vAlign w:val="center"/>
            <w:hideMark/>
          </w:tcPr>
          <w:p w14:paraId="66B27B05" w14:textId="77777777" w:rsidR="00F43A38" w:rsidRPr="000870A6" w:rsidRDefault="00F43A38" w:rsidP="009D33F5">
            <w:pPr>
              <w:spacing w:after="0"/>
              <w:ind w:left="173"/>
              <w:textAlignment w:val="baseline"/>
              <w:rPr>
                <w:rFonts w:cstheme="minorHAnsi"/>
                <w:color w:val="4F4F4F"/>
                <w:sz w:val="24"/>
                <w:szCs w:val="24"/>
              </w:rPr>
            </w:pPr>
            <w:r w:rsidRPr="000870A6">
              <w:rPr>
                <w:rFonts w:cstheme="minorHAnsi"/>
                <w:color w:val="000000"/>
                <w:sz w:val="24"/>
                <w:szCs w:val="24"/>
              </w:rPr>
              <w:t xml:space="preserve">             S&amp;P 400 Mid-cap Index</w:t>
            </w:r>
          </w:p>
        </w:tc>
      </w:tr>
      <w:tr w:rsidR="00F43A38" w:rsidRPr="000870A6" w14:paraId="0C5CEF11" w14:textId="77777777" w:rsidTr="009D33F5">
        <w:trPr>
          <w:trHeight w:val="336"/>
        </w:trPr>
        <w:tc>
          <w:tcPr>
            <w:tcW w:w="1926" w:type="dxa"/>
            <w:tcBorders>
              <w:top w:val="nil"/>
              <w:left w:val="single" w:sz="8" w:space="0" w:color="000000"/>
              <w:bottom w:val="nil"/>
              <w:right w:val="nil"/>
            </w:tcBorders>
            <w:shd w:val="clear" w:color="auto" w:fill="D9D9D9"/>
            <w:vAlign w:val="center"/>
            <w:hideMark/>
          </w:tcPr>
          <w:p w14:paraId="20C0DB11" w14:textId="77777777" w:rsidR="00F43A38" w:rsidRPr="000870A6" w:rsidRDefault="00F43A38" w:rsidP="009D33F5">
            <w:pPr>
              <w:spacing w:after="0"/>
              <w:ind w:left="120"/>
              <w:textAlignment w:val="baseline"/>
              <w:rPr>
                <w:rFonts w:cstheme="minorHAnsi"/>
                <w:color w:val="4F4F4F"/>
                <w:sz w:val="24"/>
                <w:szCs w:val="24"/>
              </w:rPr>
            </w:pPr>
            <w:r w:rsidRPr="000870A6">
              <w:rPr>
                <w:rFonts w:cstheme="minorHAnsi"/>
                <w:color w:val="000000"/>
                <w:sz w:val="24"/>
                <w:szCs w:val="24"/>
              </w:rPr>
              <w:t>U.S. Small-cap</w:t>
            </w:r>
          </w:p>
        </w:tc>
        <w:tc>
          <w:tcPr>
            <w:tcW w:w="1517" w:type="dxa"/>
            <w:shd w:val="clear" w:color="auto" w:fill="D9D9D9"/>
            <w:vAlign w:val="center"/>
            <w:hideMark/>
          </w:tcPr>
          <w:p w14:paraId="21A0DAF1" w14:textId="77777777" w:rsidR="00F43A38" w:rsidRPr="000870A6" w:rsidRDefault="00F43A38" w:rsidP="009D33F5">
            <w:pPr>
              <w:spacing w:after="0"/>
              <w:ind w:left="973"/>
              <w:textAlignment w:val="baseline"/>
              <w:rPr>
                <w:rFonts w:cstheme="minorHAnsi"/>
                <w:color w:val="4F4F4F"/>
                <w:sz w:val="24"/>
                <w:szCs w:val="24"/>
              </w:rPr>
            </w:pPr>
            <w:r w:rsidRPr="000870A6">
              <w:rPr>
                <w:rFonts w:cstheme="minorHAnsi"/>
                <w:color w:val="000000"/>
                <w:sz w:val="24"/>
                <w:szCs w:val="24"/>
              </w:rPr>
              <w:t>7%</w:t>
            </w:r>
          </w:p>
        </w:tc>
        <w:tc>
          <w:tcPr>
            <w:tcW w:w="5287" w:type="dxa"/>
            <w:tcBorders>
              <w:top w:val="nil"/>
              <w:left w:val="nil"/>
              <w:bottom w:val="nil"/>
              <w:right w:val="single" w:sz="8" w:space="0" w:color="000000"/>
            </w:tcBorders>
            <w:shd w:val="clear" w:color="auto" w:fill="D9D9D9"/>
            <w:vAlign w:val="center"/>
            <w:hideMark/>
          </w:tcPr>
          <w:p w14:paraId="32FC1922" w14:textId="77777777" w:rsidR="00F43A38" w:rsidRPr="000870A6" w:rsidRDefault="00F43A38" w:rsidP="009D33F5">
            <w:pPr>
              <w:spacing w:after="0"/>
              <w:ind w:left="173"/>
              <w:textAlignment w:val="baseline"/>
              <w:rPr>
                <w:rFonts w:cstheme="minorHAnsi"/>
                <w:color w:val="4F4F4F"/>
                <w:sz w:val="24"/>
                <w:szCs w:val="24"/>
              </w:rPr>
            </w:pPr>
            <w:r w:rsidRPr="000870A6">
              <w:rPr>
                <w:rFonts w:cstheme="minorHAnsi"/>
                <w:color w:val="000000"/>
                <w:sz w:val="24"/>
                <w:szCs w:val="24"/>
              </w:rPr>
              <w:t xml:space="preserve">             Russell 2000 Small-cap Index</w:t>
            </w:r>
          </w:p>
        </w:tc>
      </w:tr>
      <w:tr w:rsidR="00F43A38" w:rsidRPr="000870A6" w14:paraId="667CFFE2" w14:textId="77777777" w:rsidTr="009D33F5">
        <w:trPr>
          <w:trHeight w:val="327"/>
        </w:trPr>
        <w:tc>
          <w:tcPr>
            <w:tcW w:w="1926" w:type="dxa"/>
            <w:tcBorders>
              <w:top w:val="nil"/>
              <w:left w:val="single" w:sz="8" w:space="0" w:color="000000"/>
              <w:bottom w:val="nil"/>
              <w:right w:val="nil"/>
            </w:tcBorders>
            <w:shd w:val="clear" w:color="auto" w:fill="FFFFFF"/>
            <w:vAlign w:val="center"/>
            <w:hideMark/>
          </w:tcPr>
          <w:p w14:paraId="644C1E1D" w14:textId="77777777" w:rsidR="00F43A38" w:rsidRPr="000870A6" w:rsidRDefault="00F43A38" w:rsidP="009D33F5">
            <w:pPr>
              <w:spacing w:after="0"/>
              <w:ind w:left="120"/>
              <w:textAlignment w:val="baseline"/>
              <w:rPr>
                <w:rFonts w:cstheme="minorHAnsi"/>
                <w:color w:val="4F4F4F"/>
                <w:sz w:val="24"/>
                <w:szCs w:val="24"/>
              </w:rPr>
            </w:pPr>
            <w:r w:rsidRPr="000870A6">
              <w:rPr>
                <w:rFonts w:cstheme="minorHAnsi"/>
                <w:color w:val="000000"/>
                <w:sz w:val="24"/>
                <w:szCs w:val="24"/>
              </w:rPr>
              <w:t>International Developed Market</w:t>
            </w:r>
          </w:p>
        </w:tc>
        <w:tc>
          <w:tcPr>
            <w:tcW w:w="1517" w:type="dxa"/>
            <w:shd w:val="clear" w:color="auto" w:fill="FFFFFF"/>
            <w:vAlign w:val="center"/>
            <w:hideMark/>
          </w:tcPr>
          <w:p w14:paraId="572C2E8D" w14:textId="77777777" w:rsidR="00F43A38" w:rsidRPr="000870A6" w:rsidRDefault="00F43A38" w:rsidP="009D33F5">
            <w:pPr>
              <w:spacing w:after="0"/>
              <w:ind w:right="173"/>
              <w:jc w:val="right"/>
              <w:textAlignment w:val="baseline"/>
              <w:rPr>
                <w:rFonts w:cstheme="minorHAnsi"/>
                <w:color w:val="4F4F4F"/>
                <w:sz w:val="24"/>
                <w:szCs w:val="24"/>
              </w:rPr>
            </w:pPr>
            <w:r w:rsidRPr="000870A6">
              <w:rPr>
                <w:rFonts w:cstheme="minorHAnsi"/>
                <w:color w:val="000000"/>
                <w:sz w:val="24"/>
                <w:szCs w:val="24"/>
              </w:rPr>
              <w:t>15%</w:t>
            </w:r>
          </w:p>
        </w:tc>
        <w:tc>
          <w:tcPr>
            <w:tcW w:w="5287" w:type="dxa"/>
            <w:tcBorders>
              <w:top w:val="nil"/>
              <w:left w:val="nil"/>
              <w:bottom w:val="nil"/>
              <w:right w:val="single" w:sz="8" w:space="0" w:color="000000"/>
            </w:tcBorders>
            <w:shd w:val="clear" w:color="auto" w:fill="FFFFFF"/>
            <w:vAlign w:val="center"/>
            <w:hideMark/>
          </w:tcPr>
          <w:p w14:paraId="5502C644" w14:textId="77777777" w:rsidR="00F43A38" w:rsidRPr="000870A6" w:rsidRDefault="00F43A38" w:rsidP="009D33F5">
            <w:pPr>
              <w:spacing w:after="0"/>
              <w:ind w:left="173"/>
              <w:textAlignment w:val="baseline"/>
              <w:rPr>
                <w:rFonts w:cstheme="minorHAnsi"/>
                <w:color w:val="4F4F4F"/>
                <w:sz w:val="24"/>
                <w:szCs w:val="24"/>
              </w:rPr>
            </w:pPr>
            <w:r w:rsidRPr="000870A6">
              <w:rPr>
                <w:rFonts w:cstheme="minorHAnsi"/>
                <w:color w:val="000000"/>
                <w:sz w:val="24"/>
                <w:szCs w:val="24"/>
              </w:rPr>
              <w:t xml:space="preserve">             MSCI EAFE Index</w:t>
            </w:r>
          </w:p>
        </w:tc>
      </w:tr>
      <w:tr w:rsidR="00F43A38" w:rsidRPr="000870A6" w14:paraId="7CCD977D" w14:textId="77777777" w:rsidTr="009D33F5">
        <w:trPr>
          <w:trHeight w:val="350"/>
        </w:trPr>
        <w:tc>
          <w:tcPr>
            <w:tcW w:w="1926" w:type="dxa"/>
            <w:tcBorders>
              <w:top w:val="nil"/>
              <w:left w:val="single" w:sz="8" w:space="0" w:color="000000"/>
              <w:bottom w:val="single" w:sz="8" w:space="0" w:color="000000"/>
              <w:right w:val="nil"/>
            </w:tcBorders>
            <w:shd w:val="clear" w:color="auto" w:fill="D9D9D9"/>
            <w:vAlign w:val="center"/>
            <w:hideMark/>
          </w:tcPr>
          <w:p w14:paraId="6471717E" w14:textId="77777777" w:rsidR="00F43A38" w:rsidRPr="000870A6" w:rsidRDefault="00F43A38" w:rsidP="009D33F5">
            <w:pPr>
              <w:spacing w:after="0"/>
              <w:ind w:left="120"/>
              <w:textAlignment w:val="baseline"/>
              <w:rPr>
                <w:rFonts w:cstheme="minorHAnsi"/>
                <w:color w:val="4F4F4F"/>
                <w:sz w:val="24"/>
                <w:szCs w:val="24"/>
              </w:rPr>
            </w:pPr>
            <w:r w:rsidRPr="000870A6">
              <w:rPr>
                <w:rFonts w:cstheme="minorHAnsi"/>
                <w:color w:val="000000"/>
                <w:sz w:val="24"/>
                <w:szCs w:val="24"/>
              </w:rPr>
              <w:t>International Emerging Market</w:t>
            </w:r>
          </w:p>
        </w:tc>
        <w:tc>
          <w:tcPr>
            <w:tcW w:w="1517" w:type="dxa"/>
            <w:tcBorders>
              <w:top w:val="nil"/>
              <w:left w:val="nil"/>
              <w:bottom w:val="single" w:sz="8" w:space="0" w:color="000000"/>
              <w:right w:val="nil"/>
            </w:tcBorders>
            <w:shd w:val="clear" w:color="auto" w:fill="D9D9D9"/>
            <w:vAlign w:val="center"/>
            <w:hideMark/>
          </w:tcPr>
          <w:p w14:paraId="6F1BDA4B" w14:textId="77777777" w:rsidR="00F43A38" w:rsidRPr="000870A6" w:rsidRDefault="00F43A38" w:rsidP="009D33F5">
            <w:pPr>
              <w:spacing w:after="0"/>
              <w:ind w:right="173"/>
              <w:jc w:val="right"/>
              <w:textAlignment w:val="baseline"/>
              <w:rPr>
                <w:rFonts w:cstheme="minorHAnsi"/>
                <w:color w:val="4F4F4F"/>
                <w:sz w:val="24"/>
                <w:szCs w:val="24"/>
              </w:rPr>
            </w:pPr>
            <w:r w:rsidRPr="000870A6">
              <w:rPr>
                <w:rFonts w:cstheme="minorHAnsi"/>
                <w:color w:val="000000"/>
                <w:sz w:val="24"/>
                <w:szCs w:val="24"/>
              </w:rPr>
              <w:t>15%</w:t>
            </w:r>
          </w:p>
        </w:tc>
        <w:tc>
          <w:tcPr>
            <w:tcW w:w="5287" w:type="dxa"/>
            <w:tcBorders>
              <w:top w:val="nil"/>
              <w:left w:val="nil"/>
              <w:bottom w:val="single" w:sz="8" w:space="0" w:color="000000"/>
              <w:right w:val="single" w:sz="8" w:space="0" w:color="000000"/>
            </w:tcBorders>
            <w:shd w:val="clear" w:color="auto" w:fill="D9D9D9"/>
            <w:vAlign w:val="center"/>
            <w:hideMark/>
          </w:tcPr>
          <w:p w14:paraId="1A926230" w14:textId="77777777" w:rsidR="00F43A38" w:rsidRPr="000870A6" w:rsidRDefault="00F43A38" w:rsidP="009D33F5">
            <w:pPr>
              <w:spacing w:after="0"/>
              <w:ind w:left="173"/>
              <w:textAlignment w:val="baseline"/>
              <w:rPr>
                <w:rFonts w:cstheme="minorHAnsi"/>
                <w:color w:val="4F4F4F"/>
                <w:sz w:val="24"/>
                <w:szCs w:val="24"/>
              </w:rPr>
            </w:pPr>
            <w:r w:rsidRPr="000870A6">
              <w:rPr>
                <w:rFonts w:cstheme="minorHAnsi"/>
                <w:color w:val="000000"/>
                <w:sz w:val="24"/>
                <w:szCs w:val="24"/>
              </w:rPr>
              <w:t xml:space="preserve">             MSCI EM Index (net)</w:t>
            </w:r>
          </w:p>
        </w:tc>
      </w:tr>
      <w:tr w:rsidR="00F43A38" w:rsidRPr="000870A6" w14:paraId="4F0CB66B" w14:textId="77777777" w:rsidTr="009D33F5">
        <w:trPr>
          <w:trHeight w:val="355"/>
        </w:trPr>
        <w:tc>
          <w:tcPr>
            <w:tcW w:w="1926" w:type="dxa"/>
            <w:tcBorders>
              <w:top w:val="nil"/>
              <w:left w:val="single" w:sz="8" w:space="0" w:color="000000"/>
              <w:bottom w:val="single" w:sz="8" w:space="0" w:color="000000"/>
              <w:right w:val="nil"/>
            </w:tcBorders>
            <w:shd w:val="clear" w:color="auto" w:fill="FFFFFF"/>
            <w:vAlign w:val="center"/>
            <w:hideMark/>
          </w:tcPr>
          <w:p w14:paraId="76397E42" w14:textId="77777777" w:rsidR="00F43A38" w:rsidRPr="000870A6" w:rsidRDefault="00F43A38" w:rsidP="009D33F5">
            <w:pPr>
              <w:spacing w:after="0"/>
              <w:ind w:left="120"/>
              <w:textAlignment w:val="baseline"/>
              <w:rPr>
                <w:rFonts w:cstheme="minorHAnsi"/>
                <w:color w:val="4F4F4F"/>
                <w:sz w:val="24"/>
                <w:szCs w:val="24"/>
              </w:rPr>
            </w:pPr>
            <w:r w:rsidRPr="000870A6">
              <w:rPr>
                <w:rFonts w:cstheme="minorHAnsi"/>
                <w:i/>
                <w:iCs/>
                <w:color w:val="000000"/>
                <w:sz w:val="24"/>
                <w:szCs w:val="24"/>
              </w:rPr>
              <w:t>Total</w:t>
            </w:r>
          </w:p>
        </w:tc>
        <w:tc>
          <w:tcPr>
            <w:tcW w:w="1517" w:type="dxa"/>
            <w:tcBorders>
              <w:top w:val="nil"/>
              <w:left w:val="nil"/>
              <w:bottom w:val="single" w:sz="8" w:space="0" w:color="000000"/>
              <w:right w:val="nil"/>
            </w:tcBorders>
            <w:shd w:val="clear" w:color="auto" w:fill="FFFFFF"/>
            <w:vAlign w:val="center"/>
            <w:hideMark/>
          </w:tcPr>
          <w:p w14:paraId="16ADA0E4" w14:textId="77777777" w:rsidR="00F43A38" w:rsidRPr="000870A6" w:rsidRDefault="00F43A38" w:rsidP="009D33F5">
            <w:pPr>
              <w:spacing w:after="0"/>
              <w:ind w:right="173"/>
              <w:jc w:val="right"/>
              <w:textAlignment w:val="baseline"/>
              <w:rPr>
                <w:rFonts w:cstheme="minorHAnsi"/>
                <w:color w:val="4F4F4F"/>
                <w:sz w:val="24"/>
                <w:szCs w:val="24"/>
              </w:rPr>
            </w:pPr>
            <w:r w:rsidRPr="000870A6">
              <w:rPr>
                <w:rFonts w:cstheme="minorHAnsi"/>
                <w:i/>
                <w:iCs/>
                <w:color w:val="000000"/>
                <w:sz w:val="24"/>
                <w:szCs w:val="24"/>
              </w:rPr>
              <w:t>100%</w:t>
            </w:r>
          </w:p>
        </w:tc>
        <w:tc>
          <w:tcPr>
            <w:tcW w:w="5287" w:type="dxa"/>
            <w:tcBorders>
              <w:top w:val="nil"/>
              <w:left w:val="nil"/>
              <w:bottom w:val="single" w:sz="8" w:space="0" w:color="000000"/>
              <w:right w:val="single" w:sz="8" w:space="0" w:color="000000"/>
            </w:tcBorders>
            <w:shd w:val="clear" w:color="auto" w:fill="FFFFFF"/>
            <w:hideMark/>
          </w:tcPr>
          <w:p w14:paraId="1E02087F" w14:textId="77777777" w:rsidR="00F43A38" w:rsidRPr="000870A6" w:rsidRDefault="00F43A38" w:rsidP="009D33F5">
            <w:pPr>
              <w:spacing w:after="0"/>
              <w:rPr>
                <w:rFonts w:cstheme="minorHAnsi"/>
                <w:color w:val="4F4F4F"/>
                <w:sz w:val="24"/>
                <w:szCs w:val="24"/>
              </w:rPr>
            </w:pPr>
          </w:p>
        </w:tc>
      </w:tr>
    </w:tbl>
    <w:p w14:paraId="35BF0F3F" w14:textId="77777777" w:rsidR="00F43A38" w:rsidRPr="000870A6" w:rsidRDefault="00F43A38" w:rsidP="00F43A38">
      <w:pPr>
        <w:pStyle w:val="ListParagraph"/>
        <w:spacing w:after="0"/>
        <w:rPr>
          <w:rFonts w:cstheme="minorHAnsi"/>
          <w:sz w:val="24"/>
          <w:szCs w:val="24"/>
        </w:rPr>
      </w:pPr>
    </w:p>
    <w:p w14:paraId="7DB8BEB2" w14:textId="77777777" w:rsidR="00F43A38" w:rsidRPr="000870A6" w:rsidRDefault="00F43A38" w:rsidP="00F43A38">
      <w:pPr>
        <w:pStyle w:val="ListParagraph"/>
        <w:spacing w:after="0"/>
        <w:rPr>
          <w:rFonts w:cstheme="minorHAnsi"/>
          <w:sz w:val="24"/>
          <w:szCs w:val="24"/>
        </w:rPr>
      </w:pPr>
    </w:p>
    <w:p w14:paraId="3378B890" w14:textId="77777777" w:rsidR="00F43A38" w:rsidRPr="000870A6" w:rsidRDefault="00F43A38" w:rsidP="00F43A38">
      <w:pPr>
        <w:spacing w:after="0"/>
        <w:rPr>
          <w:rFonts w:cstheme="minorHAnsi"/>
          <w:sz w:val="24"/>
          <w:szCs w:val="24"/>
        </w:rPr>
      </w:pPr>
    </w:p>
    <w:p w14:paraId="394D3691" w14:textId="77777777" w:rsidR="00F43A38" w:rsidRPr="000870A6" w:rsidRDefault="00F43A38" w:rsidP="00F43A38">
      <w:pPr>
        <w:spacing w:after="0"/>
        <w:rPr>
          <w:rFonts w:cstheme="minorHAnsi"/>
          <w:sz w:val="24"/>
          <w:szCs w:val="24"/>
        </w:rPr>
      </w:pPr>
    </w:p>
    <w:p w14:paraId="623332BD" w14:textId="77777777" w:rsidR="00F43A38" w:rsidRPr="000870A6" w:rsidRDefault="00F43A38" w:rsidP="00F43A38">
      <w:pPr>
        <w:spacing w:after="0"/>
        <w:rPr>
          <w:rFonts w:cstheme="minorHAnsi"/>
          <w:sz w:val="24"/>
          <w:szCs w:val="24"/>
        </w:rPr>
      </w:pPr>
    </w:p>
    <w:tbl>
      <w:tblPr>
        <w:tblpPr w:leftFromText="189" w:rightFromText="189" w:vertAnchor="text" w:tblpX="620"/>
        <w:tblW w:w="8720" w:type="dxa"/>
        <w:shd w:val="clear" w:color="auto" w:fill="FFFFFF"/>
        <w:tblCellMar>
          <w:left w:w="0" w:type="dxa"/>
          <w:right w:w="0" w:type="dxa"/>
        </w:tblCellMar>
        <w:tblLook w:val="04A0" w:firstRow="1" w:lastRow="0" w:firstColumn="1" w:lastColumn="0" w:noHBand="0" w:noVBand="1"/>
      </w:tblPr>
      <w:tblGrid>
        <w:gridCol w:w="8720"/>
      </w:tblGrid>
      <w:tr w:rsidR="00F43A38" w:rsidRPr="000870A6" w14:paraId="4BA1E830" w14:textId="77777777" w:rsidTr="009D33F5">
        <w:tc>
          <w:tcPr>
            <w:tcW w:w="8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2E633C" w14:textId="77777777" w:rsidR="00F43A38" w:rsidRPr="000870A6" w:rsidRDefault="00F43A38" w:rsidP="009D33F5">
            <w:pPr>
              <w:spacing w:after="0"/>
              <w:jc w:val="center"/>
              <w:textAlignment w:val="baseline"/>
              <w:rPr>
                <w:rFonts w:cstheme="minorHAnsi"/>
                <w:color w:val="4F4F4F"/>
                <w:sz w:val="24"/>
                <w:szCs w:val="24"/>
              </w:rPr>
            </w:pPr>
            <w:r w:rsidRPr="000870A6">
              <w:rPr>
                <w:rFonts w:cstheme="minorHAnsi"/>
                <w:b/>
                <w:bCs/>
                <w:color w:val="000000"/>
                <w:sz w:val="24"/>
                <w:szCs w:val="24"/>
                <w:u w:val="single"/>
              </w:rPr>
              <w:t>Total Fixed Income Benchmark</w:t>
            </w:r>
          </w:p>
        </w:tc>
      </w:tr>
      <w:tr w:rsidR="00F43A38" w:rsidRPr="000870A6" w14:paraId="6BD62E91" w14:textId="77777777" w:rsidTr="009D33F5">
        <w:tc>
          <w:tcPr>
            <w:tcW w:w="8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5548CA" w14:textId="77777777" w:rsidR="00F43A38" w:rsidRPr="000870A6" w:rsidRDefault="00F43A38" w:rsidP="009D33F5">
            <w:pPr>
              <w:spacing w:after="0"/>
              <w:textAlignment w:val="baseline"/>
              <w:rPr>
                <w:rFonts w:cstheme="minorHAnsi"/>
                <w:color w:val="4F4F4F"/>
                <w:sz w:val="24"/>
                <w:szCs w:val="24"/>
              </w:rPr>
            </w:pPr>
            <w:r w:rsidRPr="000870A6">
              <w:rPr>
                <w:rFonts w:cstheme="minorHAnsi"/>
                <w:color w:val="000000"/>
                <w:sz w:val="24"/>
                <w:szCs w:val="24"/>
              </w:rPr>
              <w:t>Bond Category                                                 %         Index</w:t>
            </w:r>
          </w:p>
        </w:tc>
      </w:tr>
      <w:tr w:rsidR="00F43A38" w:rsidRPr="000870A6" w14:paraId="7BEBF4DF" w14:textId="77777777" w:rsidTr="009D33F5">
        <w:tc>
          <w:tcPr>
            <w:tcW w:w="8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C571EE" w14:textId="77777777" w:rsidR="00F43A38" w:rsidRPr="000870A6" w:rsidRDefault="00F43A38" w:rsidP="009D33F5">
            <w:pPr>
              <w:shd w:val="clear" w:color="auto" w:fill="D9D9D9"/>
              <w:spacing w:after="0"/>
              <w:textAlignment w:val="baseline"/>
              <w:rPr>
                <w:rFonts w:cstheme="minorHAnsi"/>
                <w:color w:val="000000"/>
                <w:spacing w:val="4"/>
                <w:sz w:val="24"/>
                <w:szCs w:val="24"/>
              </w:rPr>
            </w:pPr>
            <w:r w:rsidRPr="000870A6">
              <w:rPr>
                <w:rFonts w:cstheme="minorHAnsi"/>
                <w:color w:val="000000"/>
                <w:spacing w:val="4"/>
                <w:sz w:val="24"/>
                <w:szCs w:val="24"/>
              </w:rPr>
              <w:t>Intermediate-Term Bond                         100</w:t>
            </w:r>
            <w:proofErr w:type="gramStart"/>
            <w:r w:rsidRPr="000870A6">
              <w:rPr>
                <w:rFonts w:cstheme="minorHAnsi"/>
                <w:color w:val="000000"/>
                <w:spacing w:val="4"/>
                <w:sz w:val="24"/>
                <w:szCs w:val="24"/>
              </w:rPr>
              <w:t>%  Bloomberg</w:t>
            </w:r>
            <w:proofErr w:type="gramEnd"/>
            <w:r w:rsidRPr="000870A6">
              <w:rPr>
                <w:rFonts w:cstheme="minorHAnsi"/>
                <w:color w:val="000000"/>
                <w:spacing w:val="4"/>
                <w:sz w:val="24"/>
                <w:szCs w:val="24"/>
              </w:rPr>
              <w:t>/Barclays US Intermediate</w:t>
            </w:r>
          </w:p>
          <w:p w14:paraId="3BB077AD" w14:textId="77777777" w:rsidR="00F43A38" w:rsidRPr="000870A6" w:rsidRDefault="00F43A38" w:rsidP="009D33F5">
            <w:pPr>
              <w:shd w:val="clear" w:color="auto" w:fill="D9D9D9"/>
              <w:spacing w:after="0"/>
              <w:textAlignment w:val="baseline"/>
              <w:rPr>
                <w:rFonts w:cstheme="minorHAnsi"/>
                <w:color w:val="4F4F4F"/>
                <w:sz w:val="24"/>
                <w:szCs w:val="24"/>
              </w:rPr>
            </w:pPr>
            <w:r w:rsidRPr="000870A6">
              <w:rPr>
                <w:rFonts w:cstheme="minorHAnsi"/>
                <w:color w:val="000000"/>
                <w:spacing w:val="4"/>
                <w:sz w:val="24"/>
                <w:szCs w:val="24"/>
              </w:rPr>
              <w:t xml:space="preserve">                                                                                Govt./Credit</w:t>
            </w:r>
          </w:p>
        </w:tc>
      </w:tr>
      <w:tr w:rsidR="00F43A38" w:rsidRPr="000870A6" w14:paraId="68A814D5" w14:textId="77777777" w:rsidTr="009D33F5">
        <w:trPr>
          <w:trHeight w:val="359"/>
        </w:trPr>
        <w:tc>
          <w:tcPr>
            <w:tcW w:w="8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1E04BA" w14:textId="77777777" w:rsidR="00F43A38" w:rsidRPr="000870A6" w:rsidRDefault="00F43A38" w:rsidP="009D33F5">
            <w:pPr>
              <w:spacing w:after="0"/>
              <w:textAlignment w:val="baseline"/>
              <w:rPr>
                <w:rFonts w:cstheme="minorHAnsi"/>
                <w:color w:val="4F4F4F"/>
                <w:sz w:val="24"/>
                <w:szCs w:val="24"/>
              </w:rPr>
            </w:pPr>
            <w:r w:rsidRPr="000870A6">
              <w:rPr>
                <w:rFonts w:cstheme="minorHAnsi"/>
                <w:i/>
                <w:iCs/>
                <w:color w:val="000000"/>
                <w:spacing w:val="1"/>
                <w:sz w:val="24"/>
                <w:szCs w:val="24"/>
              </w:rPr>
              <w:t>Total                                                             100%</w:t>
            </w:r>
          </w:p>
        </w:tc>
      </w:tr>
    </w:tbl>
    <w:p w14:paraId="1334113D" w14:textId="77777777" w:rsidR="00F43A38" w:rsidRPr="000870A6" w:rsidRDefault="00F43A38" w:rsidP="00F43A38">
      <w:pPr>
        <w:spacing w:after="0"/>
        <w:rPr>
          <w:rFonts w:cstheme="minorHAnsi"/>
          <w:sz w:val="24"/>
          <w:szCs w:val="24"/>
        </w:rPr>
      </w:pPr>
    </w:p>
    <w:p w14:paraId="4F860D2D" w14:textId="77777777" w:rsidR="00F43A38" w:rsidRPr="000870A6" w:rsidRDefault="00F43A38" w:rsidP="00F43A38">
      <w:pPr>
        <w:spacing w:after="0"/>
        <w:rPr>
          <w:rFonts w:cstheme="minorHAnsi"/>
          <w:sz w:val="24"/>
          <w:szCs w:val="24"/>
        </w:rPr>
      </w:pPr>
    </w:p>
    <w:p w14:paraId="64B46424" w14:textId="77777777" w:rsidR="00F43A38" w:rsidRPr="000870A6" w:rsidRDefault="00F43A38" w:rsidP="00F43A38">
      <w:pPr>
        <w:spacing w:after="0"/>
        <w:rPr>
          <w:rFonts w:cstheme="minorHAnsi"/>
          <w:sz w:val="24"/>
          <w:szCs w:val="24"/>
        </w:rPr>
      </w:pPr>
    </w:p>
    <w:p w14:paraId="7772AF63" w14:textId="77777777" w:rsidR="00F43A38" w:rsidRPr="000870A6" w:rsidRDefault="00F43A38" w:rsidP="00F43A38">
      <w:pPr>
        <w:spacing w:after="0"/>
        <w:rPr>
          <w:rFonts w:cstheme="minorHAnsi"/>
          <w:sz w:val="24"/>
          <w:szCs w:val="24"/>
        </w:rPr>
      </w:pPr>
    </w:p>
    <w:p w14:paraId="05BF61E7" w14:textId="77777777" w:rsidR="00F43A38" w:rsidRPr="000870A6" w:rsidRDefault="00F43A38" w:rsidP="00F43A38">
      <w:pPr>
        <w:spacing w:after="0"/>
        <w:rPr>
          <w:rFonts w:cstheme="minorHAnsi"/>
          <w:sz w:val="24"/>
          <w:szCs w:val="24"/>
        </w:rPr>
      </w:pPr>
    </w:p>
    <w:p w14:paraId="1A1B94FD" w14:textId="77777777" w:rsidR="00F43A38" w:rsidRPr="000870A6" w:rsidRDefault="00F43A38" w:rsidP="00F43A38">
      <w:pPr>
        <w:spacing w:after="0"/>
        <w:rPr>
          <w:rFonts w:cstheme="minorHAnsi"/>
          <w:sz w:val="24"/>
          <w:szCs w:val="24"/>
        </w:rPr>
      </w:pPr>
    </w:p>
    <w:p w14:paraId="2F2F7EFC" w14:textId="77777777" w:rsidR="00F43A38" w:rsidRPr="000870A6" w:rsidRDefault="00F43A38" w:rsidP="00F43A38">
      <w:pPr>
        <w:spacing w:after="0"/>
        <w:rPr>
          <w:rFonts w:cstheme="minorHAnsi"/>
          <w:sz w:val="24"/>
          <w:szCs w:val="24"/>
        </w:rPr>
      </w:pPr>
    </w:p>
    <w:p w14:paraId="4C27518D" w14:textId="77777777" w:rsidR="00F43A38" w:rsidRPr="000870A6" w:rsidRDefault="00F43A38" w:rsidP="00F43A38">
      <w:pPr>
        <w:spacing w:after="0"/>
        <w:rPr>
          <w:rFonts w:cstheme="minorHAnsi"/>
          <w:sz w:val="24"/>
          <w:szCs w:val="24"/>
        </w:rPr>
      </w:pPr>
    </w:p>
    <w:p w14:paraId="1B707D6B" w14:textId="77777777" w:rsidR="00F43A38" w:rsidRPr="000870A6" w:rsidRDefault="00F43A38" w:rsidP="00F43A38">
      <w:pPr>
        <w:spacing w:after="0"/>
        <w:rPr>
          <w:rFonts w:cstheme="minorHAnsi"/>
          <w:sz w:val="24"/>
          <w:szCs w:val="24"/>
        </w:rPr>
      </w:pPr>
    </w:p>
    <w:p w14:paraId="45883AA0" w14:textId="77777777" w:rsidR="00F43A38" w:rsidRPr="000870A6" w:rsidRDefault="00F43A38" w:rsidP="00F43A38">
      <w:pPr>
        <w:spacing w:after="0"/>
        <w:rPr>
          <w:rFonts w:cstheme="minorHAnsi"/>
          <w:sz w:val="24"/>
          <w:szCs w:val="24"/>
        </w:rPr>
      </w:pPr>
      <w:r w:rsidRPr="000870A6">
        <w:rPr>
          <w:rFonts w:cstheme="minorHAnsi"/>
          <w:sz w:val="24"/>
          <w:szCs w:val="24"/>
        </w:rPr>
        <w:t>APPROVED INVESTMENTS</w:t>
      </w:r>
    </w:p>
    <w:p w14:paraId="163DF447" w14:textId="77777777" w:rsidR="00F43A38" w:rsidRPr="000870A6" w:rsidRDefault="00F43A38" w:rsidP="00F43A38">
      <w:pPr>
        <w:spacing w:after="0"/>
        <w:rPr>
          <w:rFonts w:cstheme="minorHAnsi"/>
          <w:sz w:val="24"/>
          <w:szCs w:val="24"/>
        </w:rPr>
      </w:pPr>
    </w:p>
    <w:p w14:paraId="61D10DB3" w14:textId="77777777" w:rsidR="00F43A38" w:rsidRPr="000870A6" w:rsidRDefault="00F43A38" w:rsidP="00F43A38">
      <w:pPr>
        <w:pStyle w:val="ListParagraph"/>
        <w:numPr>
          <w:ilvl w:val="0"/>
          <w:numId w:val="8"/>
        </w:numPr>
        <w:spacing w:after="0"/>
        <w:rPr>
          <w:rFonts w:cstheme="minorHAnsi"/>
          <w:sz w:val="24"/>
          <w:szCs w:val="24"/>
        </w:rPr>
      </w:pPr>
      <w:r w:rsidRPr="000870A6">
        <w:rPr>
          <w:rFonts w:cstheme="minorHAnsi"/>
          <w:sz w:val="24"/>
          <w:szCs w:val="24"/>
        </w:rPr>
        <w:t>For appropriated fund trusts and reserves:</w:t>
      </w:r>
    </w:p>
    <w:p w14:paraId="2C0777ED" w14:textId="77777777" w:rsidR="00F43A38" w:rsidRPr="000870A6" w:rsidRDefault="00F43A38" w:rsidP="00F43A38">
      <w:pPr>
        <w:pStyle w:val="ListParagraph"/>
        <w:numPr>
          <w:ilvl w:val="0"/>
          <w:numId w:val="9"/>
        </w:numPr>
        <w:spacing w:after="0"/>
        <w:rPr>
          <w:rFonts w:cstheme="minorHAnsi"/>
          <w:sz w:val="24"/>
          <w:szCs w:val="24"/>
        </w:rPr>
      </w:pPr>
      <w:r w:rsidRPr="000870A6">
        <w:rPr>
          <w:rFonts w:cstheme="minorHAnsi"/>
          <w:sz w:val="24"/>
          <w:szCs w:val="24"/>
        </w:rPr>
        <w:t>Capital reserves and other reserves – as specified in RSA 35:9:</w:t>
      </w:r>
    </w:p>
    <w:p w14:paraId="35908827" w14:textId="77777777" w:rsidR="00F43A38" w:rsidRPr="000870A6" w:rsidRDefault="00F43A38" w:rsidP="00F43A38">
      <w:pPr>
        <w:pStyle w:val="ListParagraph"/>
        <w:numPr>
          <w:ilvl w:val="0"/>
          <w:numId w:val="10"/>
        </w:numPr>
        <w:spacing w:after="0"/>
        <w:rPr>
          <w:rFonts w:cstheme="minorHAnsi"/>
          <w:sz w:val="24"/>
          <w:szCs w:val="24"/>
        </w:rPr>
      </w:pPr>
      <w:r w:rsidRPr="000870A6">
        <w:rPr>
          <w:rFonts w:cstheme="minorHAnsi"/>
          <w:sz w:val="24"/>
          <w:szCs w:val="24"/>
        </w:rPr>
        <w:t>Deposits in any federally or state-chartered bank or association authorized to engage in a banking business in NH;</w:t>
      </w:r>
    </w:p>
    <w:p w14:paraId="04C41DD5" w14:textId="77777777" w:rsidR="00F43A38" w:rsidRPr="000870A6" w:rsidRDefault="00F43A38" w:rsidP="00F43A38">
      <w:pPr>
        <w:pStyle w:val="ListParagraph"/>
        <w:numPr>
          <w:ilvl w:val="0"/>
          <w:numId w:val="10"/>
        </w:numPr>
        <w:spacing w:after="0"/>
        <w:rPr>
          <w:rFonts w:cstheme="minorHAnsi"/>
          <w:sz w:val="24"/>
          <w:szCs w:val="24"/>
        </w:rPr>
      </w:pPr>
      <w:r w:rsidRPr="000870A6">
        <w:rPr>
          <w:rFonts w:cstheme="minorHAnsi"/>
          <w:sz w:val="24"/>
          <w:szCs w:val="24"/>
        </w:rPr>
        <w:t>In bonds or notes of the state of NH</w:t>
      </w:r>
    </w:p>
    <w:p w14:paraId="72B929CD" w14:textId="77777777" w:rsidR="00F43A38" w:rsidRPr="000870A6" w:rsidRDefault="00F43A38" w:rsidP="00F43A38">
      <w:pPr>
        <w:pStyle w:val="ListParagraph"/>
        <w:numPr>
          <w:ilvl w:val="0"/>
          <w:numId w:val="10"/>
        </w:numPr>
        <w:spacing w:after="0"/>
        <w:rPr>
          <w:rFonts w:cstheme="minorHAnsi"/>
          <w:sz w:val="24"/>
          <w:szCs w:val="24"/>
        </w:rPr>
      </w:pPr>
      <w:r w:rsidRPr="000870A6">
        <w:rPr>
          <w:rFonts w:cstheme="minorHAnsi"/>
          <w:sz w:val="24"/>
          <w:szCs w:val="24"/>
        </w:rPr>
        <w:t>In such stocks and bonds as are legal for investment by banks and associations chartered by the state of NH to engage in a banking business;</w:t>
      </w:r>
    </w:p>
    <w:p w14:paraId="44858ADE" w14:textId="77777777" w:rsidR="00F43A38" w:rsidRPr="000870A6" w:rsidRDefault="00F43A38" w:rsidP="00F43A38">
      <w:pPr>
        <w:pStyle w:val="ListParagraph"/>
        <w:numPr>
          <w:ilvl w:val="0"/>
          <w:numId w:val="10"/>
        </w:numPr>
        <w:spacing w:after="0"/>
        <w:rPr>
          <w:rFonts w:cstheme="minorHAnsi"/>
          <w:sz w:val="24"/>
          <w:szCs w:val="24"/>
        </w:rPr>
      </w:pPr>
      <w:r w:rsidRPr="000870A6">
        <w:rPr>
          <w:rFonts w:cstheme="minorHAnsi"/>
          <w:sz w:val="24"/>
          <w:szCs w:val="24"/>
        </w:rPr>
        <w:t>In participation units in the NH Public Deposit Investment Pool (NHPDIP) established pursuant to RSA 383:22, or;</w:t>
      </w:r>
    </w:p>
    <w:p w14:paraId="522D47FB" w14:textId="77777777" w:rsidR="00F43A38" w:rsidRPr="000870A6" w:rsidRDefault="00F43A38" w:rsidP="00F43A38">
      <w:pPr>
        <w:pStyle w:val="ListParagraph"/>
        <w:numPr>
          <w:ilvl w:val="0"/>
          <w:numId w:val="10"/>
        </w:numPr>
        <w:spacing w:after="0"/>
        <w:rPr>
          <w:rFonts w:cstheme="minorHAnsi"/>
          <w:sz w:val="24"/>
          <w:szCs w:val="24"/>
        </w:rPr>
      </w:pPr>
      <w:r w:rsidRPr="000870A6">
        <w:rPr>
          <w:rFonts w:cstheme="minorHAnsi"/>
          <w:sz w:val="24"/>
          <w:szCs w:val="24"/>
        </w:rPr>
        <w:t>In obligations with principal and interest fully guaranteed by the United States government.</w:t>
      </w:r>
    </w:p>
    <w:p w14:paraId="2E2F4027" w14:textId="77777777" w:rsidR="00F43A38" w:rsidRPr="000870A6" w:rsidRDefault="00F43A38" w:rsidP="00F43A38">
      <w:pPr>
        <w:pStyle w:val="ListParagraph"/>
        <w:numPr>
          <w:ilvl w:val="0"/>
          <w:numId w:val="9"/>
        </w:numPr>
        <w:spacing w:after="0"/>
        <w:rPr>
          <w:rFonts w:cstheme="minorHAnsi"/>
          <w:sz w:val="24"/>
          <w:szCs w:val="24"/>
        </w:rPr>
      </w:pPr>
      <w:r w:rsidRPr="000870A6">
        <w:rPr>
          <w:rFonts w:cstheme="minorHAnsi"/>
          <w:sz w:val="24"/>
          <w:szCs w:val="24"/>
        </w:rPr>
        <w:t>Trusts – as specified by RSA 31:25, and RSA 35:1-c:</w:t>
      </w:r>
    </w:p>
    <w:p w14:paraId="65BCD515" w14:textId="77777777" w:rsidR="00F43A38" w:rsidRPr="000870A6" w:rsidRDefault="00F43A38" w:rsidP="00F43A38">
      <w:pPr>
        <w:pStyle w:val="ListParagraph"/>
        <w:numPr>
          <w:ilvl w:val="0"/>
          <w:numId w:val="11"/>
        </w:numPr>
        <w:spacing w:after="0"/>
        <w:rPr>
          <w:rFonts w:cstheme="minorHAnsi"/>
          <w:sz w:val="24"/>
          <w:szCs w:val="24"/>
        </w:rPr>
      </w:pPr>
      <w:r w:rsidRPr="000870A6">
        <w:rPr>
          <w:rFonts w:cstheme="minorHAnsi"/>
          <w:sz w:val="24"/>
          <w:szCs w:val="24"/>
        </w:rPr>
        <w:t>In deposits in any federally or state-chartered bank or association authorized to engage in a banking business in NH;</w:t>
      </w:r>
    </w:p>
    <w:p w14:paraId="18477A52" w14:textId="77777777" w:rsidR="00F43A38" w:rsidRPr="000870A6" w:rsidRDefault="00F43A38" w:rsidP="00F43A38">
      <w:pPr>
        <w:pStyle w:val="ListParagraph"/>
        <w:numPr>
          <w:ilvl w:val="0"/>
          <w:numId w:val="11"/>
        </w:numPr>
        <w:spacing w:after="0"/>
        <w:rPr>
          <w:rFonts w:cstheme="minorHAnsi"/>
          <w:sz w:val="24"/>
          <w:szCs w:val="24"/>
        </w:rPr>
      </w:pPr>
      <w:r w:rsidRPr="000870A6">
        <w:rPr>
          <w:rFonts w:cstheme="minorHAnsi"/>
          <w:sz w:val="24"/>
          <w:szCs w:val="24"/>
        </w:rPr>
        <w:t>In deposits in any credit union in NH;</w:t>
      </w:r>
    </w:p>
    <w:p w14:paraId="092C60A7" w14:textId="77777777" w:rsidR="00F43A38" w:rsidRPr="000870A6" w:rsidRDefault="00F43A38" w:rsidP="00F43A38">
      <w:pPr>
        <w:pStyle w:val="ListParagraph"/>
        <w:numPr>
          <w:ilvl w:val="0"/>
          <w:numId w:val="11"/>
        </w:numPr>
        <w:spacing w:after="0"/>
        <w:rPr>
          <w:rFonts w:cstheme="minorHAnsi"/>
          <w:sz w:val="24"/>
          <w:szCs w:val="24"/>
        </w:rPr>
      </w:pPr>
      <w:r w:rsidRPr="000870A6">
        <w:rPr>
          <w:rFonts w:cstheme="minorHAnsi"/>
          <w:sz w:val="24"/>
          <w:szCs w:val="24"/>
        </w:rPr>
        <w:t>In state, county, town, city, school district, water and sewer district bonds and the notes of towns or cities of NH;</w:t>
      </w:r>
    </w:p>
    <w:p w14:paraId="06849760" w14:textId="77777777" w:rsidR="00F43A38" w:rsidRPr="000870A6" w:rsidRDefault="00F43A38" w:rsidP="00F43A38">
      <w:pPr>
        <w:pStyle w:val="ListParagraph"/>
        <w:numPr>
          <w:ilvl w:val="0"/>
          <w:numId w:val="11"/>
        </w:numPr>
        <w:spacing w:after="0"/>
        <w:rPr>
          <w:rFonts w:cstheme="minorHAnsi"/>
          <w:sz w:val="24"/>
          <w:szCs w:val="24"/>
        </w:rPr>
      </w:pPr>
      <w:r w:rsidRPr="000870A6">
        <w:rPr>
          <w:rFonts w:cstheme="minorHAnsi"/>
          <w:sz w:val="24"/>
          <w:szCs w:val="24"/>
        </w:rPr>
        <w:t>In such stocks and bonds as are legal for investment by banks and associations chartered by the state of NH to engage in a banking business;</w:t>
      </w:r>
    </w:p>
    <w:p w14:paraId="27AFF3E6" w14:textId="77777777" w:rsidR="00F43A38" w:rsidRPr="000870A6" w:rsidRDefault="00F43A38" w:rsidP="00F43A38">
      <w:pPr>
        <w:pStyle w:val="ListParagraph"/>
        <w:numPr>
          <w:ilvl w:val="0"/>
          <w:numId w:val="11"/>
        </w:numPr>
        <w:spacing w:after="0"/>
        <w:rPr>
          <w:rFonts w:cstheme="minorHAnsi"/>
          <w:sz w:val="24"/>
          <w:szCs w:val="24"/>
        </w:rPr>
      </w:pPr>
      <w:r w:rsidRPr="000870A6">
        <w:rPr>
          <w:rFonts w:cstheme="minorHAnsi"/>
          <w:sz w:val="24"/>
          <w:szCs w:val="24"/>
        </w:rPr>
        <w:t>In participation units in the NH Public Deposit Investment Pool (NHPDIP) established pursuant to RSA 383:22; or</w:t>
      </w:r>
    </w:p>
    <w:p w14:paraId="242C96F9" w14:textId="77777777" w:rsidR="00F43A38" w:rsidRPr="000870A6" w:rsidRDefault="00F43A38" w:rsidP="00F43A38">
      <w:pPr>
        <w:pStyle w:val="ListParagraph"/>
        <w:numPr>
          <w:ilvl w:val="0"/>
          <w:numId w:val="11"/>
        </w:numPr>
        <w:spacing w:after="0"/>
        <w:rPr>
          <w:rFonts w:cstheme="minorHAnsi"/>
          <w:sz w:val="24"/>
          <w:szCs w:val="24"/>
        </w:rPr>
      </w:pPr>
      <w:r w:rsidRPr="000870A6">
        <w:rPr>
          <w:rFonts w:cstheme="minorHAnsi"/>
          <w:sz w:val="24"/>
          <w:szCs w:val="24"/>
        </w:rPr>
        <w:t>In obligations with principal and interest fully guaranteed by the United States government.</w:t>
      </w:r>
    </w:p>
    <w:p w14:paraId="5DA88ED2" w14:textId="77777777" w:rsidR="00F43A38" w:rsidRPr="000870A6" w:rsidRDefault="00F43A38" w:rsidP="00F43A38">
      <w:pPr>
        <w:pStyle w:val="ListParagraph"/>
        <w:numPr>
          <w:ilvl w:val="0"/>
          <w:numId w:val="8"/>
        </w:numPr>
        <w:spacing w:after="0"/>
        <w:rPr>
          <w:rFonts w:cstheme="minorHAnsi"/>
          <w:sz w:val="24"/>
          <w:szCs w:val="24"/>
        </w:rPr>
      </w:pPr>
      <w:r w:rsidRPr="000870A6">
        <w:rPr>
          <w:rFonts w:cstheme="minorHAnsi"/>
          <w:sz w:val="24"/>
          <w:szCs w:val="24"/>
        </w:rPr>
        <w:t>For cemetery trusts, including trusts funded from sale of burial plots:</w:t>
      </w:r>
    </w:p>
    <w:p w14:paraId="267BE941" w14:textId="77777777" w:rsidR="00F43A38" w:rsidRPr="000870A6" w:rsidRDefault="00F43A38" w:rsidP="00F43A38">
      <w:pPr>
        <w:pStyle w:val="ListParagraph"/>
        <w:numPr>
          <w:ilvl w:val="0"/>
          <w:numId w:val="12"/>
        </w:numPr>
        <w:spacing w:after="0"/>
        <w:rPr>
          <w:rFonts w:cstheme="minorHAnsi"/>
          <w:sz w:val="24"/>
          <w:szCs w:val="24"/>
        </w:rPr>
      </w:pPr>
      <w:r w:rsidRPr="000870A6">
        <w:rPr>
          <w:rFonts w:cstheme="minorHAnsi"/>
          <w:sz w:val="24"/>
          <w:szCs w:val="24"/>
        </w:rPr>
        <w:t>Perpetual care trusts - as specified for trusts (paragraph 1.b. above) except that only the income, not the principal, may be expended.  The Trustees of Trust Funds are agents to expend the income from these trusts.</w:t>
      </w:r>
    </w:p>
    <w:p w14:paraId="7AB029B8" w14:textId="77777777" w:rsidR="00F43A38" w:rsidRPr="000870A6" w:rsidRDefault="00F43A38" w:rsidP="00F43A38">
      <w:pPr>
        <w:pStyle w:val="ListParagraph"/>
        <w:numPr>
          <w:ilvl w:val="0"/>
          <w:numId w:val="12"/>
        </w:numPr>
        <w:spacing w:after="0"/>
        <w:rPr>
          <w:rFonts w:cstheme="minorHAnsi"/>
          <w:sz w:val="24"/>
          <w:szCs w:val="24"/>
        </w:rPr>
      </w:pPr>
      <w:r w:rsidRPr="000870A6">
        <w:rPr>
          <w:rFonts w:cstheme="minorHAnsi"/>
          <w:sz w:val="24"/>
          <w:szCs w:val="24"/>
        </w:rPr>
        <w:t xml:space="preserve">Other trusts – as specified for trusts (paragraph 1.b. above).  The Trustees of Trust Funds are agents to expend from these trusts. </w:t>
      </w:r>
    </w:p>
    <w:p w14:paraId="533D6025" w14:textId="77777777" w:rsidR="00F43A38" w:rsidRPr="000870A6" w:rsidRDefault="00F43A38" w:rsidP="00F43A38">
      <w:pPr>
        <w:pStyle w:val="ListParagraph"/>
        <w:numPr>
          <w:ilvl w:val="0"/>
          <w:numId w:val="8"/>
        </w:numPr>
        <w:spacing w:after="0"/>
        <w:rPr>
          <w:rFonts w:cstheme="minorHAnsi"/>
          <w:sz w:val="24"/>
          <w:szCs w:val="24"/>
        </w:rPr>
      </w:pPr>
      <w:r w:rsidRPr="000870A6">
        <w:rPr>
          <w:rFonts w:cstheme="minorHAnsi"/>
          <w:sz w:val="24"/>
          <w:szCs w:val="24"/>
        </w:rPr>
        <w:t>For agency funds – at present, primarily reserves and trusts of the Oyster River Cooperative School District, but could include reserves and trusts of other non-Durham municipal units:</w:t>
      </w:r>
    </w:p>
    <w:p w14:paraId="749E3F49" w14:textId="77777777" w:rsidR="00F43A38" w:rsidRPr="000870A6" w:rsidRDefault="00F43A38" w:rsidP="00F43A38">
      <w:pPr>
        <w:pStyle w:val="ListParagraph"/>
        <w:numPr>
          <w:ilvl w:val="0"/>
          <w:numId w:val="13"/>
        </w:numPr>
        <w:spacing w:after="0"/>
        <w:rPr>
          <w:rFonts w:cstheme="minorHAnsi"/>
          <w:sz w:val="24"/>
          <w:szCs w:val="24"/>
        </w:rPr>
      </w:pPr>
      <w:r w:rsidRPr="000870A6">
        <w:rPr>
          <w:rFonts w:cstheme="minorHAnsi"/>
          <w:sz w:val="24"/>
          <w:szCs w:val="24"/>
        </w:rPr>
        <w:t xml:space="preserve">Capital reserves and other </w:t>
      </w:r>
      <w:proofErr w:type="gramStart"/>
      <w:r w:rsidRPr="000870A6">
        <w:rPr>
          <w:rFonts w:cstheme="minorHAnsi"/>
          <w:sz w:val="24"/>
          <w:szCs w:val="24"/>
        </w:rPr>
        <w:t>reserves  –</w:t>
      </w:r>
      <w:proofErr w:type="gramEnd"/>
      <w:r w:rsidRPr="000870A6">
        <w:rPr>
          <w:rFonts w:cstheme="minorHAnsi"/>
          <w:sz w:val="24"/>
          <w:szCs w:val="24"/>
        </w:rPr>
        <w:t xml:space="preserve"> as specified for capital reserves (Paragraph 1.a. above)</w:t>
      </w:r>
    </w:p>
    <w:p w14:paraId="75EEB72C" w14:textId="77777777" w:rsidR="00F43A38" w:rsidRPr="000870A6" w:rsidRDefault="00F43A38" w:rsidP="00F43A38">
      <w:pPr>
        <w:pStyle w:val="ListParagraph"/>
        <w:numPr>
          <w:ilvl w:val="0"/>
          <w:numId w:val="13"/>
        </w:numPr>
        <w:spacing w:after="0"/>
        <w:rPr>
          <w:rFonts w:cstheme="minorHAnsi"/>
          <w:sz w:val="24"/>
          <w:szCs w:val="24"/>
        </w:rPr>
      </w:pPr>
      <w:r w:rsidRPr="000870A6">
        <w:rPr>
          <w:rFonts w:cstheme="minorHAnsi"/>
          <w:sz w:val="24"/>
          <w:szCs w:val="24"/>
        </w:rPr>
        <w:t>Trusts - as specified for trusts (paragraph 1.b. above)</w:t>
      </w:r>
    </w:p>
    <w:p w14:paraId="61F6034D" w14:textId="77777777" w:rsidR="00F43A38" w:rsidRPr="000870A6" w:rsidRDefault="00F43A38" w:rsidP="00F43A38">
      <w:pPr>
        <w:pStyle w:val="ListParagraph"/>
        <w:numPr>
          <w:ilvl w:val="0"/>
          <w:numId w:val="13"/>
        </w:numPr>
        <w:spacing w:after="0"/>
        <w:rPr>
          <w:rFonts w:cstheme="minorHAnsi"/>
          <w:sz w:val="24"/>
          <w:szCs w:val="24"/>
        </w:rPr>
      </w:pPr>
      <w:r w:rsidRPr="000870A6">
        <w:rPr>
          <w:rFonts w:cstheme="minorHAnsi"/>
          <w:sz w:val="24"/>
          <w:szCs w:val="24"/>
        </w:rPr>
        <w:t>Private purpose trusts (primarily scholarships) - as specified for expendable trusts (paragraph 1.b. above).  Some of these trusts restrict expenditures to income only.</w:t>
      </w:r>
    </w:p>
    <w:p w14:paraId="35E9859A" w14:textId="77777777" w:rsidR="00F43A38" w:rsidRPr="000870A6" w:rsidRDefault="00F43A38" w:rsidP="00F43A38">
      <w:pPr>
        <w:pStyle w:val="ListParagraph"/>
        <w:numPr>
          <w:ilvl w:val="0"/>
          <w:numId w:val="8"/>
        </w:numPr>
        <w:spacing w:after="0"/>
        <w:rPr>
          <w:rFonts w:cstheme="minorHAnsi"/>
          <w:sz w:val="24"/>
          <w:szCs w:val="24"/>
        </w:rPr>
      </w:pPr>
      <w:r w:rsidRPr="000870A6">
        <w:rPr>
          <w:rFonts w:cstheme="minorHAnsi"/>
          <w:sz w:val="24"/>
          <w:szCs w:val="24"/>
        </w:rPr>
        <w:lastRenderedPageBreak/>
        <w:t>For private trusts (primarily cemetery care endowments) - as specified for trusts (paragraph 1.b. above) except that in these trusts only the income, not the principal, may be expended.</w:t>
      </w:r>
    </w:p>
    <w:p w14:paraId="5AB73C9C" w14:textId="77777777" w:rsidR="00F43A38" w:rsidRPr="000870A6" w:rsidRDefault="00F43A38" w:rsidP="00F43A38">
      <w:pPr>
        <w:spacing w:after="0"/>
        <w:rPr>
          <w:rFonts w:cstheme="minorHAnsi"/>
          <w:sz w:val="24"/>
          <w:szCs w:val="24"/>
        </w:rPr>
      </w:pPr>
    </w:p>
    <w:p w14:paraId="429D1A71" w14:textId="77777777" w:rsidR="00F43A38" w:rsidRPr="000870A6" w:rsidRDefault="00F43A38" w:rsidP="00F43A38">
      <w:pPr>
        <w:spacing w:after="0"/>
        <w:rPr>
          <w:rFonts w:cstheme="minorHAnsi"/>
          <w:sz w:val="24"/>
          <w:szCs w:val="24"/>
        </w:rPr>
      </w:pPr>
      <w:r w:rsidRPr="000870A6">
        <w:rPr>
          <w:rFonts w:cstheme="minorHAnsi"/>
          <w:sz w:val="24"/>
          <w:szCs w:val="24"/>
        </w:rPr>
        <w:t>RISK CONTROLS</w:t>
      </w:r>
    </w:p>
    <w:p w14:paraId="200C3EDD" w14:textId="77777777" w:rsidR="00F43A38" w:rsidRPr="000870A6" w:rsidRDefault="00F43A38" w:rsidP="00F43A38">
      <w:pPr>
        <w:spacing w:after="0"/>
        <w:rPr>
          <w:rFonts w:cstheme="minorHAnsi"/>
          <w:sz w:val="24"/>
          <w:szCs w:val="24"/>
        </w:rPr>
      </w:pPr>
    </w:p>
    <w:p w14:paraId="10D467A6" w14:textId="77777777" w:rsidR="00F43A38" w:rsidRPr="000870A6" w:rsidRDefault="00F43A38" w:rsidP="00F43A38">
      <w:pPr>
        <w:pStyle w:val="ListParagraph"/>
        <w:numPr>
          <w:ilvl w:val="0"/>
          <w:numId w:val="16"/>
        </w:numPr>
        <w:spacing w:after="0"/>
        <w:rPr>
          <w:rFonts w:cstheme="minorHAnsi"/>
          <w:sz w:val="24"/>
          <w:szCs w:val="24"/>
        </w:rPr>
      </w:pPr>
      <w:r w:rsidRPr="000870A6">
        <w:rPr>
          <w:rFonts w:cstheme="minorHAnsi"/>
          <w:sz w:val="24"/>
          <w:szCs w:val="24"/>
        </w:rPr>
        <w:t>Credit Risk:</w:t>
      </w:r>
    </w:p>
    <w:p w14:paraId="3F990A18" w14:textId="77777777" w:rsidR="00F43A38" w:rsidRPr="000870A6" w:rsidRDefault="00F43A38" w:rsidP="00F43A38">
      <w:pPr>
        <w:pStyle w:val="ListParagraph"/>
        <w:numPr>
          <w:ilvl w:val="1"/>
          <w:numId w:val="16"/>
        </w:numPr>
        <w:spacing w:after="0"/>
        <w:rPr>
          <w:rFonts w:cstheme="minorHAnsi"/>
          <w:sz w:val="24"/>
          <w:szCs w:val="24"/>
        </w:rPr>
      </w:pPr>
      <w:r w:rsidRPr="000870A6">
        <w:rPr>
          <w:rFonts w:cstheme="minorHAnsi"/>
          <w:sz w:val="24"/>
          <w:szCs w:val="24"/>
        </w:rPr>
        <w:t>No investments will be made in private placements, private equities, hedge funds, fixed income swaps or futures, derivatives, equity futures or options, or illiquid securities.  Margin trading and short sales are not permitted.</w:t>
      </w:r>
    </w:p>
    <w:p w14:paraId="6D251CCC" w14:textId="77777777" w:rsidR="00F43A38" w:rsidRPr="000870A6" w:rsidRDefault="00F43A38" w:rsidP="00F43A38">
      <w:pPr>
        <w:pStyle w:val="ListParagraph"/>
        <w:numPr>
          <w:ilvl w:val="1"/>
          <w:numId w:val="16"/>
        </w:numPr>
        <w:spacing w:after="0"/>
        <w:rPr>
          <w:rFonts w:cstheme="minorHAnsi"/>
          <w:sz w:val="24"/>
          <w:szCs w:val="24"/>
        </w:rPr>
      </w:pPr>
      <w:r w:rsidRPr="000870A6">
        <w:rPr>
          <w:rFonts w:cstheme="minorHAnsi"/>
          <w:sz w:val="24"/>
          <w:szCs w:val="24"/>
        </w:rPr>
        <w:t>All fixed income security purchases shall either be individual issues with a minimum rating of investment grade (Baa – Moody’s, BBB – Standard &amp; Poor’s), generally maturing within 10 years; or fixed income mutual funds or ETFs, with at least 80% in investment grade rated bonds as listed in the prospectus. Except for Federal and state securities, the portfolio of fixed income securities will contain no more than 10% of securities from any one issuer.</w:t>
      </w:r>
    </w:p>
    <w:p w14:paraId="43CEB565" w14:textId="77777777" w:rsidR="00F43A38" w:rsidRPr="000870A6" w:rsidRDefault="00F43A38" w:rsidP="00F43A38">
      <w:pPr>
        <w:pStyle w:val="ListParagraph"/>
        <w:numPr>
          <w:ilvl w:val="1"/>
          <w:numId w:val="16"/>
        </w:numPr>
        <w:spacing w:after="0"/>
        <w:rPr>
          <w:rFonts w:cstheme="minorHAnsi"/>
          <w:sz w:val="24"/>
          <w:szCs w:val="24"/>
        </w:rPr>
      </w:pPr>
      <w:r w:rsidRPr="000870A6">
        <w:rPr>
          <w:rFonts w:cstheme="minorHAnsi"/>
          <w:sz w:val="24"/>
          <w:szCs w:val="24"/>
        </w:rPr>
        <w:t>Equity investments will be in mutual funds, ETFs or companies with a proven record of earnings and dividend growth, strong fundamentals, and attractive valuations. The equity portfolio will be broadly diversified with no more than 5% of equities from any single company.</w:t>
      </w:r>
    </w:p>
    <w:p w14:paraId="6C11C41F" w14:textId="77777777" w:rsidR="00F43A38" w:rsidRPr="000870A6" w:rsidRDefault="00F43A38" w:rsidP="00F43A38">
      <w:pPr>
        <w:pStyle w:val="ListParagraph"/>
        <w:numPr>
          <w:ilvl w:val="0"/>
          <w:numId w:val="16"/>
        </w:numPr>
        <w:spacing w:after="0"/>
        <w:rPr>
          <w:rFonts w:cstheme="minorHAnsi"/>
          <w:sz w:val="24"/>
          <w:szCs w:val="24"/>
        </w:rPr>
      </w:pPr>
      <w:r w:rsidRPr="000870A6">
        <w:rPr>
          <w:rFonts w:cstheme="minorHAnsi"/>
          <w:sz w:val="24"/>
          <w:szCs w:val="24"/>
        </w:rPr>
        <w:t>Custodial Credit Risk:</w:t>
      </w:r>
    </w:p>
    <w:p w14:paraId="009DD0B4" w14:textId="77777777" w:rsidR="00F43A38" w:rsidRPr="000870A6" w:rsidRDefault="00F43A38" w:rsidP="00F43A38">
      <w:pPr>
        <w:pStyle w:val="ListParagraph"/>
        <w:numPr>
          <w:ilvl w:val="1"/>
          <w:numId w:val="16"/>
        </w:numPr>
        <w:spacing w:after="0"/>
        <w:rPr>
          <w:rFonts w:cstheme="minorHAnsi"/>
          <w:sz w:val="24"/>
          <w:szCs w:val="24"/>
        </w:rPr>
      </w:pPr>
      <w:r w:rsidRPr="000870A6">
        <w:rPr>
          <w:rFonts w:cstheme="minorHAnsi"/>
          <w:sz w:val="24"/>
          <w:szCs w:val="24"/>
        </w:rPr>
        <w:t>The investment advisor will be a state or federally chartered bank wealth management department in order that the funds held in the reserves and trusts are in account with an institution supervised by the State of New Hampshire or the US Comptroller of the Treasury.</w:t>
      </w:r>
    </w:p>
    <w:p w14:paraId="415C2B2F" w14:textId="77777777" w:rsidR="00F43A38" w:rsidRPr="000870A6" w:rsidRDefault="00F43A38" w:rsidP="00F43A38">
      <w:pPr>
        <w:pStyle w:val="ListParagraph"/>
        <w:numPr>
          <w:ilvl w:val="1"/>
          <w:numId w:val="16"/>
        </w:numPr>
        <w:spacing w:after="0"/>
        <w:rPr>
          <w:rFonts w:cstheme="minorHAnsi"/>
          <w:sz w:val="24"/>
          <w:szCs w:val="24"/>
        </w:rPr>
      </w:pPr>
      <w:r w:rsidRPr="000870A6">
        <w:rPr>
          <w:rFonts w:cstheme="minorHAnsi"/>
          <w:sz w:val="24"/>
          <w:szCs w:val="24"/>
        </w:rPr>
        <w:t>The investment advisor will provide evidence of insurance coverage for loss of funds.</w:t>
      </w:r>
    </w:p>
    <w:p w14:paraId="07F180D9" w14:textId="77777777" w:rsidR="00F43A38" w:rsidRPr="000870A6" w:rsidRDefault="00F43A38" w:rsidP="00F43A38">
      <w:pPr>
        <w:pStyle w:val="ListParagraph"/>
        <w:numPr>
          <w:ilvl w:val="0"/>
          <w:numId w:val="16"/>
        </w:numPr>
        <w:spacing w:after="0"/>
        <w:rPr>
          <w:rFonts w:cstheme="minorHAnsi"/>
          <w:sz w:val="24"/>
          <w:szCs w:val="24"/>
        </w:rPr>
      </w:pPr>
      <w:r w:rsidRPr="000870A6">
        <w:rPr>
          <w:rFonts w:cstheme="minorHAnsi"/>
          <w:sz w:val="24"/>
          <w:szCs w:val="24"/>
        </w:rPr>
        <w:t>Concentration of Credit Risk: See paragraphs 1.b. and 1.c. above.</w:t>
      </w:r>
    </w:p>
    <w:p w14:paraId="56E8AA72" w14:textId="77777777" w:rsidR="00F43A38" w:rsidRPr="000870A6" w:rsidRDefault="00F43A38" w:rsidP="00F43A38">
      <w:pPr>
        <w:pStyle w:val="ListParagraph"/>
        <w:numPr>
          <w:ilvl w:val="0"/>
          <w:numId w:val="16"/>
        </w:numPr>
        <w:spacing w:after="0"/>
        <w:rPr>
          <w:rFonts w:cstheme="minorHAnsi"/>
          <w:sz w:val="24"/>
          <w:szCs w:val="24"/>
        </w:rPr>
      </w:pPr>
      <w:r w:rsidRPr="000870A6">
        <w:rPr>
          <w:rFonts w:cstheme="minorHAnsi"/>
          <w:sz w:val="24"/>
          <w:szCs w:val="24"/>
        </w:rPr>
        <w:t>Interest Rate Risk:</w:t>
      </w:r>
    </w:p>
    <w:p w14:paraId="36DFB84C" w14:textId="77777777" w:rsidR="00F43A38" w:rsidRPr="000870A6" w:rsidRDefault="00F43A38" w:rsidP="00F43A38">
      <w:pPr>
        <w:pStyle w:val="ListParagraph"/>
        <w:numPr>
          <w:ilvl w:val="1"/>
          <w:numId w:val="16"/>
        </w:numPr>
        <w:spacing w:after="0"/>
        <w:rPr>
          <w:rFonts w:cstheme="minorHAnsi"/>
          <w:sz w:val="24"/>
          <w:szCs w:val="24"/>
        </w:rPr>
      </w:pPr>
      <w:r w:rsidRPr="000870A6">
        <w:rPr>
          <w:rFonts w:cstheme="minorHAnsi"/>
          <w:sz w:val="24"/>
          <w:szCs w:val="24"/>
        </w:rPr>
        <w:t>The Trustees will seek to manage interest rate risk actively by considering bond portfolio duration during quarterly meetings with the investment advisor. Decisions regarding duration will be made and recorded in the minutes of the quarterly meeting.</w:t>
      </w:r>
    </w:p>
    <w:p w14:paraId="3FAE1021" w14:textId="77777777" w:rsidR="00F43A38" w:rsidRPr="000870A6" w:rsidRDefault="00F43A38" w:rsidP="00F43A38">
      <w:pPr>
        <w:pStyle w:val="ListParagraph"/>
        <w:numPr>
          <w:ilvl w:val="1"/>
          <w:numId w:val="16"/>
        </w:numPr>
        <w:spacing w:after="0"/>
        <w:rPr>
          <w:rFonts w:cstheme="minorHAnsi"/>
          <w:sz w:val="24"/>
          <w:szCs w:val="24"/>
        </w:rPr>
      </w:pPr>
      <w:r w:rsidRPr="000870A6">
        <w:rPr>
          <w:rFonts w:cstheme="minorHAnsi"/>
          <w:sz w:val="24"/>
          <w:szCs w:val="24"/>
        </w:rPr>
        <w:t>The Investment Advisor will also provide an assessment of the fair value sensitivity of the investment portfolio during quarterly meetings.</w:t>
      </w:r>
    </w:p>
    <w:p w14:paraId="13AD97A2" w14:textId="77777777" w:rsidR="00F43A38" w:rsidRPr="000870A6" w:rsidRDefault="00F43A38" w:rsidP="00F43A38">
      <w:pPr>
        <w:pStyle w:val="ListParagraph"/>
        <w:numPr>
          <w:ilvl w:val="0"/>
          <w:numId w:val="16"/>
        </w:numPr>
        <w:spacing w:after="0"/>
        <w:rPr>
          <w:rFonts w:cstheme="minorHAnsi"/>
          <w:sz w:val="24"/>
          <w:szCs w:val="24"/>
        </w:rPr>
      </w:pPr>
      <w:r w:rsidRPr="000870A6">
        <w:rPr>
          <w:rFonts w:cstheme="minorHAnsi"/>
          <w:sz w:val="24"/>
          <w:szCs w:val="24"/>
        </w:rPr>
        <w:t>Foreign Currency Risk: In general, all reserve/trust investments will be in dollar denominated issues. The Trustees can authorize an exception to this policy only to take advantage of exceptional opportunity.</w:t>
      </w:r>
    </w:p>
    <w:p w14:paraId="059EECEF" w14:textId="77777777" w:rsidR="00F43A38" w:rsidRPr="000870A6" w:rsidRDefault="00F43A38" w:rsidP="00F43A38">
      <w:pPr>
        <w:pStyle w:val="ListParagraph"/>
        <w:numPr>
          <w:ilvl w:val="0"/>
          <w:numId w:val="16"/>
        </w:numPr>
        <w:spacing w:after="0"/>
        <w:rPr>
          <w:rFonts w:cstheme="minorHAnsi"/>
          <w:sz w:val="24"/>
          <w:szCs w:val="24"/>
        </w:rPr>
      </w:pPr>
      <w:r w:rsidRPr="000870A6">
        <w:rPr>
          <w:rFonts w:cstheme="minorHAnsi"/>
          <w:sz w:val="24"/>
          <w:szCs w:val="24"/>
        </w:rPr>
        <w:t>Fair Value Measurement: Investment is restricted to securities traded in active markets, and fair value calculations will be calculated on quoted prices in those markets.</w:t>
      </w:r>
    </w:p>
    <w:p w14:paraId="3CF44073" w14:textId="77777777" w:rsidR="00F43A38" w:rsidRPr="000870A6" w:rsidRDefault="00F43A38" w:rsidP="00F43A38">
      <w:pPr>
        <w:pStyle w:val="ListParagraph"/>
        <w:numPr>
          <w:ilvl w:val="0"/>
          <w:numId w:val="16"/>
        </w:numPr>
        <w:spacing w:after="0"/>
        <w:rPr>
          <w:rFonts w:cstheme="minorHAnsi"/>
          <w:sz w:val="24"/>
          <w:szCs w:val="24"/>
        </w:rPr>
      </w:pPr>
      <w:r w:rsidRPr="000870A6">
        <w:rPr>
          <w:rFonts w:cstheme="minorHAnsi"/>
          <w:sz w:val="24"/>
          <w:szCs w:val="24"/>
        </w:rPr>
        <w:t xml:space="preserve">Asset allocation will be governed by these guidelines: </w:t>
      </w:r>
    </w:p>
    <w:p w14:paraId="01595B64" w14:textId="77777777" w:rsidR="00F43A38" w:rsidRPr="000870A6" w:rsidRDefault="00F43A38" w:rsidP="00F43A38">
      <w:pPr>
        <w:spacing w:after="0"/>
        <w:rPr>
          <w:rFonts w:cstheme="minorHAnsi"/>
          <w:sz w:val="24"/>
          <w:szCs w:val="24"/>
        </w:rPr>
      </w:pPr>
    </w:p>
    <w:p w14:paraId="5C13B61C" w14:textId="77777777" w:rsidR="00F43A38" w:rsidRPr="000870A6" w:rsidRDefault="00F43A38" w:rsidP="00F43A38">
      <w:pPr>
        <w:shd w:val="clear" w:color="auto" w:fill="FFFFFF"/>
        <w:spacing w:after="0"/>
        <w:rPr>
          <w:rFonts w:cstheme="minorHAnsi"/>
          <w:color w:val="4F4F4F"/>
          <w:sz w:val="24"/>
          <w:szCs w:val="24"/>
        </w:rPr>
      </w:pPr>
      <w:r w:rsidRPr="000870A6">
        <w:rPr>
          <w:rFonts w:cstheme="minorHAnsi"/>
          <w:color w:val="4F4F4F"/>
          <w:sz w:val="24"/>
          <w:szCs w:val="24"/>
        </w:rPr>
        <w:t xml:space="preserve">         </w:t>
      </w:r>
      <w:r w:rsidRPr="000870A6">
        <w:rPr>
          <w:rFonts w:cstheme="minorHAnsi"/>
          <w:color w:val="4F4F4F"/>
          <w:sz w:val="24"/>
          <w:szCs w:val="24"/>
          <w:u w:val="single"/>
        </w:rPr>
        <w:t>Asset type</w:t>
      </w:r>
      <w:r w:rsidRPr="000870A6">
        <w:rPr>
          <w:rFonts w:cstheme="minorHAnsi"/>
          <w:color w:val="4F4F4F"/>
          <w:sz w:val="24"/>
          <w:szCs w:val="24"/>
        </w:rPr>
        <w:t>                             </w:t>
      </w:r>
      <w:r w:rsidRPr="000870A6">
        <w:rPr>
          <w:rFonts w:cstheme="minorHAnsi"/>
          <w:color w:val="4F4F4F"/>
          <w:sz w:val="24"/>
          <w:szCs w:val="24"/>
          <w:u w:val="single"/>
        </w:rPr>
        <w:t>Percent minimum</w:t>
      </w:r>
      <w:r w:rsidRPr="000870A6">
        <w:rPr>
          <w:rFonts w:cstheme="minorHAnsi"/>
          <w:color w:val="4F4F4F"/>
          <w:sz w:val="24"/>
          <w:szCs w:val="24"/>
        </w:rPr>
        <w:t>      </w:t>
      </w:r>
      <w:r w:rsidRPr="000870A6">
        <w:rPr>
          <w:rFonts w:cstheme="minorHAnsi"/>
          <w:color w:val="4F4F4F"/>
          <w:sz w:val="24"/>
          <w:szCs w:val="24"/>
          <w:u w:val="single"/>
        </w:rPr>
        <w:t>Strategic Targets</w:t>
      </w:r>
      <w:r w:rsidRPr="000870A6">
        <w:rPr>
          <w:rFonts w:cstheme="minorHAnsi"/>
          <w:color w:val="4F4F4F"/>
          <w:sz w:val="24"/>
          <w:szCs w:val="24"/>
        </w:rPr>
        <w:t>         </w:t>
      </w:r>
      <w:r w:rsidRPr="000870A6">
        <w:rPr>
          <w:rFonts w:cstheme="minorHAnsi"/>
          <w:color w:val="4F4F4F"/>
          <w:sz w:val="24"/>
          <w:szCs w:val="24"/>
          <w:u w:val="single"/>
        </w:rPr>
        <w:t>Percent maximum</w:t>
      </w:r>
    </w:p>
    <w:p w14:paraId="7B3E4582" w14:textId="77777777" w:rsidR="00F43A38" w:rsidRPr="000870A6" w:rsidRDefault="00F43A38" w:rsidP="00F43A38">
      <w:pPr>
        <w:shd w:val="clear" w:color="auto" w:fill="FFFFFF"/>
        <w:spacing w:after="0"/>
        <w:rPr>
          <w:rFonts w:cstheme="minorHAnsi"/>
          <w:color w:val="4F4F4F"/>
          <w:sz w:val="24"/>
          <w:szCs w:val="24"/>
        </w:rPr>
      </w:pPr>
      <w:r w:rsidRPr="000870A6">
        <w:rPr>
          <w:rFonts w:cstheme="minorHAnsi"/>
          <w:color w:val="4F4F4F"/>
          <w:sz w:val="24"/>
          <w:szCs w:val="24"/>
        </w:rPr>
        <w:t> Cash, near cash                                             0%                             5%                                   20%</w:t>
      </w:r>
    </w:p>
    <w:p w14:paraId="1EFD82C4" w14:textId="77777777" w:rsidR="00F43A38" w:rsidRPr="000870A6" w:rsidRDefault="00F43A38" w:rsidP="00F43A38">
      <w:pPr>
        <w:shd w:val="clear" w:color="auto" w:fill="FFFFFF"/>
        <w:spacing w:after="0"/>
        <w:rPr>
          <w:rFonts w:cstheme="minorHAnsi"/>
          <w:color w:val="4F4F4F"/>
          <w:sz w:val="24"/>
          <w:szCs w:val="24"/>
        </w:rPr>
      </w:pPr>
      <w:r w:rsidRPr="000870A6">
        <w:rPr>
          <w:rFonts w:cstheme="minorHAnsi"/>
          <w:color w:val="4F4F4F"/>
          <w:sz w:val="24"/>
          <w:szCs w:val="24"/>
        </w:rPr>
        <w:lastRenderedPageBreak/>
        <w:t> Bonds, notes                                                70%                           80%                                  90%</w:t>
      </w:r>
    </w:p>
    <w:p w14:paraId="7E8E5A76" w14:textId="381B2654" w:rsidR="00F43A38" w:rsidRPr="000870A6" w:rsidRDefault="00F43A38" w:rsidP="00F43A38">
      <w:pPr>
        <w:shd w:val="clear" w:color="auto" w:fill="FFFFFF"/>
        <w:spacing w:after="0"/>
        <w:rPr>
          <w:rFonts w:cstheme="minorHAnsi"/>
          <w:color w:val="4F4F4F"/>
          <w:sz w:val="24"/>
          <w:szCs w:val="24"/>
        </w:rPr>
      </w:pPr>
      <w:r w:rsidRPr="000870A6">
        <w:rPr>
          <w:rFonts w:cstheme="minorHAnsi"/>
          <w:color w:val="4F4F4F"/>
          <w:sz w:val="24"/>
          <w:szCs w:val="24"/>
        </w:rPr>
        <w:t> Equities (except cemetery trusts)</w:t>
      </w:r>
      <w:r>
        <w:rPr>
          <w:rFonts w:cstheme="minorHAnsi"/>
          <w:color w:val="4F4F4F"/>
          <w:sz w:val="24"/>
          <w:szCs w:val="24"/>
        </w:rPr>
        <w:tab/>
      </w:r>
      <w:r w:rsidRPr="000870A6">
        <w:rPr>
          <w:rFonts w:cstheme="minorHAnsi"/>
          <w:color w:val="4F4F4F"/>
          <w:sz w:val="24"/>
          <w:szCs w:val="24"/>
        </w:rPr>
        <w:t xml:space="preserve">        0%                            15%                                  20%</w:t>
      </w:r>
    </w:p>
    <w:p w14:paraId="36316916" w14:textId="7046EB03" w:rsidR="00F43A38" w:rsidRPr="000870A6" w:rsidRDefault="00F43A38" w:rsidP="00F43A38">
      <w:pPr>
        <w:spacing w:after="0"/>
        <w:rPr>
          <w:rFonts w:cstheme="minorHAnsi"/>
          <w:color w:val="4F4F4F"/>
          <w:sz w:val="24"/>
          <w:szCs w:val="24"/>
        </w:rPr>
      </w:pPr>
      <w:r w:rsidRPr="000870A6">
        <w:rPr>
          <w:rFonts w:cstheme="minorHAnsi"/>
          <w:color w:val="4F4F4F"/>
          <w:sz w:val="24"/>
          <w:szCs w:val="24"/>
        </w:rPr>
        <w:t> Equities (cemetery trusts</w:t>
      </w:r>
      <w:r>
        <w:rPr>
          <w:rFonts w:cstheme="minorHAnsi"/>
          <w:color w:val="4F4F4F"/>
          <w:sz w:val="24"/>
          <w:szCs w:val="24"/>
        </w:rPr>
        <w:t>)</w:t>
      </w:r>
      <w:r>
        <w:rPr>
          <w:rFonts w:cstheme="minorHAnsi"/>
          <w:color w:val="4F4F4F"/>
          <w:sz w:val="24"/>
          <w:szCs w:val="24"/>
        </w:rPr>
        <w:tab/>
      </w:r>
      <w:r>
        <w:rPr>
          <w:rFonts w:cstheme="minorHAnsi"/>
          <w:color w:val="4F4F4F"/>
          <w:sz w:val="24"/>
          <w:szCs w:val="24"/>
        </w:rPr>
        <w:tab/>
        <w:t xml:space="preserve">       </w:t>
      </w:r>
      <w:r w:rsidRPr="000870A6">
        <w:rPr>
          <w:rFonts w:cstheme="minorHAnsi"/>
          <w:color w:val="4F4F4F"/>
          <w:sz w:val="24"/>
          <w:szCs w:val="24"/>
        </w:rPr>
        <w:t xml:space="preserve"> 0%                            20%                                  25%</w:t>
      </w:r>
    </w:p>
    <w:p w14:paraId="20995386" w14:textId="77777777" w:rsidR="00F43A38" w:rsidRPr="000870A6" w:rsidRDefault="00F43A38" w:rsidP="00F43A38">
      <w:pPr>
        <w:spacing w:after="0"/>
        <w:rPr>
          <w:rFonts w:cstheme="minorHAnsi"/>
          <w:sz w:val="24"/>
          <w:szCs w:val="24"/>
        </w:rPr>
      </w:pPr>
    </w:p>
    <w:p w14:paraId="3526100D" w14:textId="77777777" w:rsidR="00F43A38" w:rsidRPr="000870A6" w:rsidRDefault="00F43A38" w:rsidP="00F43A38">
      <w:pPr>
        <w:pStyle w:val="ListParagraph"/>
        <w:numPr>
          <w:ilvl w:val="0"/>
          <w:numId w:val="16"/>
        </w:numPr>
        <w:spacing w:after="0"/>
        <w:rPr>
          <w:rFonts w:cstheme="minorHAnsi"/>
          <w:sz w:val="24"/>
          <w:szCs w:val="24"/>
        </w:rPr>
      </w:pPr>
      <w:r w:rsidRPr="000870A6">
        <w:rPr>
          <w:rFonts w:cstheme="minorHAnsi"/>
          <w:sz w:val="24"/>
          <w:szCs w:val="24"/>
        </w:rPr>
        <w:t xml:space="preserve">Cash and near cash </w:t>
      </w:r>
      <w:proofErr w:type="gramStart"/>
      <w:r w:rsidRPr="000870A6">
        <w:rPr>
          <w:rFonts w:cstheme="minorHAnsi"/>
          <w:sz w:val="24"/>
          <w:szCs w:val="24"/>
        </w:rPr>
        <w:t>is</w:t>
      </w:r>
      <w:proofErr w:type="gramEnd"/>
      <w:r w:rsidRPr="000870A6">
        <w:rPr>
          <w:rFonts w:cstheme="minorHAnsi"/>
          <w:sz w:val="24"/>
          <w:szCs w:val="24"/>
        </w:rPr>
        <w:t xml:space="preserve"> limited to demand deposits in banks, short term certificates of deposit, money market funds, and high-grade repurchase agreements.</w:t>
      </w:r>
    </w:p>
    <w:p w14:paraId="10428A6F" w14:textId="77777777" w:rsidR="00F43A38" w:rsidRPr="000870A6" w:rsidRDefault="00F43A38" w:rsidP="00F43A38">
      <w:pPr>
        <w:spacing w:after="0"/>
        <w:rPr>
          <w:rFonts w:cstheme="minorHAnsi"/>
          <w:sz w:val="24"/>
          <w:szCs w:val="24"/>
        </w:rPr>
      </w:pPr>
    </w:p>
    <w:p w14:paraId="63C57148" w14:textId="77777777" w:rsidR="00F43A38" w:rsidRPr="000870A6" w:rsidRDefault="00F43A38" w:rsidP="00F43A38">
      <w:pPr>
        <w:spacing w:after="0"/>
        <w:rPr>
          <w:rFonts w:cstheme="minorHAnsi"/>
          <w:sz w:val="24"/>
          <w:szCs w:val="24"/>
        </w:rPr>
      </w:pPr>
      <w:r w:rsidRPr="000870A6">
        <w:rPr>
          <w:rFonts w:cstheme="minorHAnsi"/>
          <w:sz w:val="24"/>
          <w:szCs w:val="24"/>
        </w:rPr>
        <w:t xml:space="preserve">REPORTING  </w:t>
      </w:r>
    </w:p>
    <w:p w14:paraId="2897B066" w14:textId="77777777" w:rsidR="00F43A38" w:rsidRPr="000870A6" w:rsidRDefault="00F43A38" w:rsidP="00F43A38">
      <w:pPr>
        <w:pStyle w:val="ListParagraph"/>
        <w:numPr>
          <w:ilvl w:val="0"/>
          <w:numId w:val="15"/>
        </w:numPr>
        <w:spacing w:after="0"/>
        <w:rPr>
          <w:rFonts w:cstheme="minorHAnsi"/>
          <w:sz w:val="24"/>
          <w:szCs w:val="24"/>
        </w:rPr>
      </w:pPr>
      <w:r w:rsidRPr="000870A6">
        <w:rPr>
          <w:rFonts w:cstheme="minorHAnsi"/>
          <w:sz w:val="24"/>
          <w:szCs w:val="24"/>
        </w:rPr>
        <w:t>State of NH financial reports (MS 9/10):  The investment advisor will provide an annual wrap-up statement to the Trustees’ bookkeeper as the basis for these reports.  The investment advisor will provide other reporting assistance as requested.  The Trustees, working with the Town Business Office, will prepare this report.</w:t>
      </w:r>
    </w:p>
    <w:p w14:paraId="5E56F957" w14:textId="77777777" w:rsidR="00F43A38" w:rsidRPr="000870A6" w:rsidRDefault="00F43A38" w:rsidP="00F43A38">
      <w:pPr>
        <w:pStyle w:val="ListParagraph"/>
        <w:numPr>
          <w:ilvl w:val="0"/>
          <w:numId w:val="15"/>
        </w:numPr>
        <w:spacing w:after="0"/>
        <w:rPr>
          <w:rFonts w:cstheme="minorHAnsi"/>
          <w:sz w:val="24"/>
          <w:szCs w:val="24"/>
        </w:rPr>
      </w:pPr>
      <w:r w:rsidRPr="000870A6">
        <w:rPr>
          <w:rFonts w:cstheme="minorHAnsi"/>
          <w:sz w:val="24"/>
          <w:szCs w:val="24"/>
        </w:rPr>
        <w:t xml:space="preserve">Investment policy report:  The Trustees will forward their most current investment policy to the NH DOJ annually. </w:t>
      </w:r>
    </w:p>
    <w:p w14:paraId="49A878F7" w14:textId="77777777" w:rsidR="00F43A38" w:rsidRPr="000870A6" w:rsidRDefault="00F43A38" w:rsidP="00F43A38">
      <w:pPr>
        <w:pStyle w:val="ListParagraph"/>
        <w:numPr>
          <w:ilvl w:val="0"/>
          <w:numId w:val="15"/>
        </w:numPr>
        <w:spacing w:after="0"/>
        <w:rPr>
          <w:rFonts w:cstheme="minorHAnsi"/>
          <w:sz w:val="24"/>
          <w:szCs w:val="24"/>
        </w:rPr>
      </w:pPr>
      <w:r w:rsidRPr="000870A6">
        <w:rPr>
          <w:rFonts w:cstheme="minorHAnsi"/>
          <w:sz w:val="24"/>
          <w:szCs w:val="24"/>
        </w:rPr>
        <w:t>Town reports; The Trustees meet annually with the Council to provide an update on activities and accomplishments for the year.  Additionally, the Trustees will provide a written summary of activity for inclusion in the Town Annual Report.</w:t>
      </w:r>
    </w:p>
    <w:p w14:paraId="5F3566F5" w14:textId="77777777" w:rsidR="00F43A38" w:rsidRPr="000870A6" w:rsidRDefault="00F43A38" w:rsidP="00F43A38">
      <w:pPr>
        <w:pStyle w:val="EnvelopeReturn"/>
        <w:rPr>
          <w:rFonts w:asciiTheme="minorHAnsi" w:hAnsiTheme="minorHAnsi" w:cstheme="minorHAnsi"/>
          <w:sz w:val="24"/>
          <w:szCs w:val="24"/>
        </w:rPr>
      </w:pPr>
    </w:p>
    <w:p w14:paraId="1EBBACEF" w14:textId="77777777" w:rsidR="00F43A38" w:rsidRPr="000870A6" w:rsidRDefault="00F43A38" w:rsidP="00F43A38">
      <w:pPr>
        <w:pStyle w:val="EnvelopeReturn"/>
        <w:rPr>
          <w:rFonts w:asciiTheme="minorHAnsi" w:hAnsiTheme="minorHAnsi" w:cstheme="minorHAnsi"/>
          <w:sz w:val="24"/>
          <w:szCs w:val="24"/>
        </w:rPr>
      </w:pPr>
    </w:p>
    <w:p w14:paraId="20E5FDD4" w14:textId="77777777" w:rsidR="00F43A38" w:rsidRPr="000870A6" w:rsidRDefault="00F43A38" w:rsidP="00F43A38">
      <w:pPr>
        <w:pStyle w:val="EnvelopeReturn"/>
        <w:rPr>
          <w:rFonts w:asciiTheme="minorHAnsi" w:hAnsiTheme="minorHAnsi" w:cstheme="minorHAnsi"/>
          <w:sz w:val="24"/>
          <w:szCs w:val="24"/>
        </w:rPr>
      </w:pPr>
      <w:r w:rsidRPr="000870A6">
        <w:rPr>
          <w:rFonts w:asciiTheme="minorHAnsi" w:hAnsiTheme="minorHAnsi" w:cstheme="minorHAnsi"/>
          <w:sz w:val="24"/>
          <w:szCs w:val="24"/>
        </w:rPr>
        <w:t>Approved:  14 November 2016</w:t>
      </w:r>
      <w:r w:rsidRPr="000870A6">
        <w:rPr>
          <w:rFonts w:asciiTheme="minorHAnsi" w:hAnsiTheme="minorHAnsi" w:cstheme="minorHAnsi"/>
          <w:sz w:val="24"/>
          <w:szCs w:val="24"/>
        </w:rPr>
        <w:tab/>
        <w:t>Updated and re-approved:  25 May 2018</w:t>
      </w:r>
    </w:p>
    <w:p w14:paraId="32477FEA" w14:textId="77777777" w:rsidR="00F43A38" w:rsidRPr="000870A6" w:rsidRDefault="00F43A38" w:rsidP="00F43A38">
      <w:pPr>
        <w:pStyle w:val="EnvelopeReturn"/>
        <w:rPr>
          <w:rFonts w:asciiTheme="minorHAnsi" w:hAnsiTheme="minorHAnsi" w:cstheme="minorHAnsi"/>
          <w:sz w:val="24"/>
          <w:szCs w:val="24"/>
        </w:rPr>
      </w:pPr>
    </w:p>
    <w:p w14:paraId="7C02FBF0" w14:textId="77777777" w:rsidR="00F43A38" w:rsidRPr="000870A6" w:rsidRDefault="00F43A38" w:rsidP="00F43A38">
      <w:pPr>
        <w:pStyle w:val="EnvelopeReturn"/>
        <w:rPr>
          <w:rFonts w:asciiTheme="minorHAnsi" w:hAnsiTheme="minorHAnsi" w:cstheme="minorHAnsi"/>
          <w:sz w:val="24"/>
          <w:szCs w:val="24"/>
        </w:rPr>
      </w:pPr>
      <w:r w:rsidRPr="000870A6">
        <w:rPr>
          <w:rFonts w:asciiTheme="minorHAnsi" w:hAnsiTheme="minorHAnsi" w:cstheme="minorHAnsi"/>
          <w:sz w:val="24"/>
          <w:szCs w:val="24"/>
        </w:rPr>
        <w:tab/>
      </w:r>
      <w:r w:rsidRPr="000870A6">
        <w:rPr>
          <w:rFonts w:asciiTheme="minorHAnsi" w:hAnsiTheme="minorHAnsi" w:cstheme="minorHAnsi"/>
          <w:sz w:val="24"/>
          <w:szCs w:val="24"/>
        </w:rPr>
        <w:tab/>
      </w:r>
      <w:r w:rsidRPr="000870A6">
        <w:rPr>
          <w:rFonts w:asciiTheme="minorHAnsi" w:hAnsiTheme="minorHAnsi" w:cstheme="minorHAnsi"/>
          <w:sz w:val="24"/>
          <w:szCs w:val="24"/>
        </w:rPr>
        <w:tab/>
      </w:r>
      <w:r w:rsidRPr="000870A6">
        <w:rPr>
          <w:rFonts w:asciiTheme="minorHAnsi" w:hAnsiTheme="minorHAnsi" w:cstheme="minorHAnsi"/>
          <w:sz w:val="24"/>
          <w:szCs w:val="24"/>
        </w:rPr>
        <w:tab/>
      </w:r>
      <w:r w:rsidRPr="000870A6">
        <w:rPr>
          <w:rFonts w:asciiTheme="minorHAnsi" w:hAnsiTheme="minorHAnsi" w:cstheme="minorHAnsi"/>
          <w:sz w:val="24"/>
          <w:szCs w:val="24"/>
        </w:rPr>
        <w:tab/>
        <w:t>Updated and re-approved:  27 September 2019</w:t>
      </w:r>
    </w:p>
    <w:p w14:paraId="19880E6A" w14:textId="77777777" w:rsidR="00F43A38" w:rsidRPr="000870A6" w:rsidRDefault="00F43A38" w:rsidP="00F43A38">
      <w:pPr>
        <w:pStyle w:val="EnvelopeReturn"/>
        <w:rPr>
          <w:rFonts w:asciiTheme="minorHAnsi" w:hAnsiTheme="minorHAnsi" w:cstheme="minorHAnsi"/>
          <w:sz w:val="24"/>
          <w:szCs w:val="24"/>
        </w:rPr>
      </w:pPr>
    </w:p>
    <w:p w14:paraId="139DC576" w14:textId="77777777" w:rsidR="00F43A38" w:rsidRPr="000870A6" w:rsidRDefault="00F43A38" w:rsidP="00F43A38">
      <w:pPr>
        <w:pStyle w:val="EnvelopeReturn"/>
        <w:rPr>
          <w:rFonts w:asciiTheme="minorHAnsi" w:hAnsiTheme="minorHAnsi" w:cstheme="minorHAnsi"/>
          <w:sz w:val="24"/>
          <w:szCs w:val="24"/>
        </w:rPr>
      </w:pPr>
    </w:p>
    <w:p w14:paraId="26AD0840" w14:textId="77777777" w:rsidR="00F43A38" w:rsidRPr="000870A6" w:rsidRDefault="00F43A38" w:rsidP="00F43A38">
      <w:pPr>
        <w:pStyle w:val="EnvelopeReturn"/>
        <w:rPr>
          <w:rFonts w:asciiTheme="minorHAnsi" w:hAnsiTheme="minorHAnsi" w:cstheme="minorHAnsi"/>
          <w:sz w:val="24"/>
          <w:szCs w:val="24"/>
        </w:rPr>
      </w:pPr>
    </w:p>
    <w:p w14:paraId="5722448F" w14:textId="77777777" w:rsidR="00F43A38" w:rsidRPr="000870A6" w:rsidRDefault="00F43A38" w:rsidP="00F43A38">
      <w:pPr>
        <w:pStyle w:val="EnvelopeReturn"/>
        <w:rPr>
          <w:rFonts w:asciiTheme="minorHAnsi" w:hAnsiTheme="minorHAnsi" w:cstheme="minorHAnsi"/>
          <w:sz w:val="24"/>
          <w:szCs w:val="24"/>
        </w:rPr>
      </w:pPr>
      <w:r w:rsidRPr="000870A6">
        <w:rPr>
          <w:rFonts w:asciiTheme="minorHAnsi" w:hAnsiTheme="minorHAnsi" w:cstheme="minorHAnsi"/>
          <w:sz w:val="24"/>
          <w:szCs w:val="24"/>
        </w:rPr>
        <w:tab/>
      </w:r>
    </w:p>
    <w:p w14:paraId="58ACFC76" w14:textId="77777777" w:rsidR="00F43A38" w:rsidRPr="000870A6" w:rsidRDefault="00F43A38" w:rsidP="00F43A38">
      <w:pPr>
        <w:pStyle w:val="EnvelopeReturn"/>
        <w:rPr>
          <w:rFonts w:asciiTheme="minorHAnsi" w:hAnsiTheme="minorHAnsi" w:cstheme="minorHAnsi"/>
          <w:sz w:val="24"/>
          <w:szCs w:val="24"/>
        </w:rPr>
      </w:pPr>
    </w:p>
    <w:p w14:paraId="7F5E24E3" w14:textId="77777777" w:rsidR="00F43A38" w:rsidRPr="000870A6" w:rsidRDefault="00F43A38" w:rsidP="00F43A38">
      <w:pPr>
        <w:pStyle w:val="EnvelopeReturn"/>
        <w:rPr>
          <w:rFonts w:asciiTheme="minorHAnsi" w:hAnsiTheme="minorHAnsi" w:cstheme="minorHAnsi"/>
          <w:sz w:val="24"/>
          <w:szCs w:val="24"/>
        </w:rPr>
      </w:pPr>
    </w:p>
    <w:p w14:paraId="59BA197D" w14:textId="77777777" w:rsidR="00F43A38" w:rsidRPr="000870A6" w:rsidRDefault="00F43A38" w:rsidP="00F43A38">
      <w:pPr>
        <w:pStyle w:val="EnvelopeReturn"/>
        <w:rPr>
          <w:rFonts w:asciiTheme="minorHAnsi" w:hAnsiTheme="minorHAnsi" w:cstheme="minorHAnsi"/>
          <w:sz w:val="24"/>
          <w:szCs w:val="24"/>
        </w:rPr>
      </w:pPr>
      <w:r w:rsidRPr="000870A6">
        <w:rPr>
          <w:rFonts w:asciiTheme="minorHAnsi" w:hAnsiTheme="minorHAnsi" w:cstheme="minorHAnsi"/>
          <w:sz w:val="24"/>
          <w:szCs w:val="24"/>
        </w:rPr>
        <w:tab/>
      </w:r>
      <w:r w:rsidRPr="000870A6">
        <w:rPr>
          <w:rFonts w:asciiTheme="minorHAnsi" w:hAnsiTheme="minorHAnsi" w:cstheme="minorHAnsi"/>
          <w:sz w:val="24"/>
          <w:szCs w:val="24"/>
          <w:u w:val="single"/>
        </w:rPr>
        <w:t xml:space="preserve">/s/Michael H. </w:t>
      </w:r>
      <w:proofErr w:type="spellStart"/>
      <w:r w:rsidRPr="000870A6">
        <w:rPr>
          <w:rFonts w:asciiTheme="minorHAnsi" w:hAnsiTheme="minorHAnsi" w:cstheme="minorHAnsi"/>
          <w:sz w:val="24"/>
          <w:szCs w:val="24"/>
          <w:u w:val="single"/>
        </w:rPr>
        <w:t>Everngam</w:t>
      </w:r>
      <w:proofErr w:type="spellEnd"/>
      <w:r w:rsidRPr="000870A6">
        <w:rPr>
          <w:rFonts w:asciiTheme="minorHAnsi" w:hAnsiTheme="minorHAnsi" w:cstheme="minorHAnsi"/>
          <w:sz w:val="24"/>
          <w:szCs w:val="24"/>
        </w:rPr>
        <w:tab/>
        <w:t xml:space="preserve">           </w:t>
      </w:r>
      <w:r w:rsidRPr="000870A6">
        <w:rPr>
          <w:rFonts w:asciiTheme="minorHAnsi" w:hAnsiTheme="minorHAnsi" w:cstheme="minorHAnsi"/>
          <w:sz w:val="24"/>
          <w:szCs w:val="24"/>
          <w:u w:val="single"/>
        </w:rPr>
        <w:t>/s/Craig R. Seymour</w:t>
      </w:r>
      <w:r w:rsidRPr="000870A6">
        <w:rPr>
          <w:rFonts w:asciiTheme="minorHAnsi" w:hAnsiTheme="minorHAnsi" w:cstheme="minorHAnsi"/>
          <w:sz w:val="24"/>
          <w:szCs w:val="24"/>
        </w:rPr>
        <w:tab/>
      </w:r>
      <w:r w:rsidRPr="000870A6">
        <w:rPr>
          <w:rFonts w:asciiTheme="minorHAnsi" w:hAnsiTheme="minorHAnsi" w:cstheme="minorHAnsi"/>
          <w:sz w:val="24"/>
          <w:szCs w:val="24"/>
        </w:rPr>
        <w:tab/>
      </w:r>
      <w:r w:rsidRPr="000870A6">
        <w:rPr>
          <w:rFonts w:asciiTheme="minorHAnsi" w:hAnsiTheme="minorHAnsi" w:cstheme="minorHAnsi"/>
          <w:sz w:val="24"/>
          <w:szCs w:val="24"/>
          <w:u w:val="single"/>
        </w:rPr>
        <w:t>/s/William Cote</w:t>
      </w:r>
    </w:p>
    <w:p w14:paraId="5370C885" w14:textId="77777777" w:rsidR="00F43A38" w:rsidRPr="000870A6" w:rsidRDefault="00F43A38" w:rsidP="00F43A38">
      <w:pPr>
        <w:pStyle w:val="EnvelopeReturn"/>
        <w:rPr>
          <w:rFonts w:asciiTheme="minorHAnsi" w:hAnsiTheme="minorHAnsi" w:cstheme="minorHAnsi"/>
          <w:sz w:val="24"/>
          <w:szCs w:val="24"/>
        </w:rPr>
      </w:pPr>
      <w:r w:rsidRPr="000870A6">
        <w:rPr>
          <w:rFonts w:asciiTheme="minorHAnsi" w:hAnsiTheme="minorHAnsi" w:cstheme="minorHAnsi"/>
          <w:sz w:val="24"/>
          <w:szCs w:val="24"/>
        </w:rPr>
        <w:tab/>
        <w:t xml:space="preserve">    Michael H. </w:t>
      </w:r>
      <w:proofErr w:type="spellStart"/>
      <w:r w:rsidRPr="000870A6">
        <w:rPr>
          <w:rFonts w:asciiTheme="minorHAnsi" w:hAnsiTheme="minorHAnsi" w:cstheme="minorHAnsi"/>
          <w:sz w:val="24"/>
          <w:szCs w:val="24"/>
        </w:rPr>
        <w:t>Everngam</w:t>
      </w:r>
      <w:proofErr w:type="spellEnd"/>
      <w:r w:rsidRPr="000870A6">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0870A6">
        <w:rPr>
          <w:rFonts w:asciiTheme="minorHAnsi" w:hAnsiTheme="minorHAnsi" w:cstheme="minorHAnsi"/>
          <w:sz w:val="24"/>
          <w:szCs w:val="24"/>
        </w:rPr>
        <w:t xml:space="preserve"> Craig R. Seymour</w:t>
      </w:r>
      <w:r w:rsidRPr="000870A6">
        <w:rPr>
          <w:rFonts w:asciiTheme="minorHAnsi" w:hAnsiTheme="minorHAnsi" w:cstheme="minorHAnsi"/>
          <w:sz w:val="24"/>
          <w:szCs w:val="24"/>
        </w:rPr>
        <w:tab/>
        <w:t xml:space="preserve">                  William Cote</w:t>
      </w:r>
    </w:p>
    <w:p w14:paraId="28C976AD" w14:textId="77777777" w:rsidR="00F43A38" w:rsidRPr="000870A6" w:rsidRDefault="00F43A38" w:rsidP="00F43A38">
      <w:pPr>
        <w:pStyle w:val="EnvelopeReturn"/>
        <w:rPr>
          <w:rFonts w:asciiTheme="minorHAnsi" w:hAnsiTheme="minorHAnsi" w:cstheme="minorHAnsi"/>
          <w:sz w:val="24"/>
          <w:szCs w:val="24"/>
        </w:rPr>
      </w:pPr>
      <w:r w:rsidRPr="000870A6">
        <w:rPr>
          <w:rFonts w:asciiTheme="minorHAnsi" w:hAnsiTheme="minorHAnsi" w:cstheme="minorHAnsi"/>
          <w:sz w:val="24"/>
          <w:szCs w:val="24"/>
        </w:rPr>
        <w:tab/>
        <w:t xml:space="preserve">    Chair</w:t>
      </w:r>
      <w:r w:rsidRPr="000870A6">
        <w:rPr>
          <w:rFonts w:asciiTheme="minorHAnsi" w:hAnsiTheme="minorHAnsi" w:cstheme="minorHAnsi"/>
          <w:sz w:val="24"/>
          <w:szCs w:val="24"/>
        </w:rPr>
        <w:tab/>
      </w:r>
      <w:r w:rsidRPr="000870A6">
        <w:rPr>
          <w:rFonts w:asciiTheme="minorHAnsi" w:hAnsiTheme="minorHAnsi" w:cstheme="minorHAnsi"/>
          <w:sz w:val="24"/>
          <w:szCs w:val="24"/>
        </w:rPr>
        <w:tab/>
      </w:r>
      <w:r w:rsidRPr="000870A6">
        <w:rPr>
          <w:rFonts w:asciiTheme="minorHAnsi" w:hAnsiTheme="minorHAnsi" w:cstheme="minorHAnsi"/>
          <w:sz w:val="24"/>
          <w:szCs w:val="24"/>
        </w:rPr>
        <w:tab/>
      </w:r>
      <w:r w:rsidRPr="000870A6">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0870A6">
        <w:rPr>
          <w:rFonts w:asciiTheme="minorHAnsi" w:hAnsiTheme="minorHAnsi" w:cstheme="minorHAnsi"/>
          <w:sz w:val="24"/>
          <w:szCs w:val="24"/>
        </w:rPr>
        <w:t>Member</w:t>
      </w:r>
      <w:r w:rsidRPr="000870A6">
        <w:rPr>
          <w:rFonts w:asciiTheme="minorHAnsi" w:hAnsiTheme="minorHAnsi" w:cstheme="minorHAnsi"/>
          <w:sz w:val="24"/>
          <w:szCs w:val="24"/>
        </w:rPr>
        <w:tab/>
      </w:r>
      <w:r w:rsidRPr="000870A6">
        <w:rPr>
          <w:rFonts w:asciiTheme="minorHAnsi" w:hAnsiTheme="minorHAnsi" w:cstheme="minorHAnsi"/>
          <w:sz w:val="24"/>
          <w:szCs w:val="24"/>
        </w:rPr>
        <w:tab/>
      </w:r>
      <w:r w:rsidRPr="000870A6">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0870A6">
        <w:rPr>
          <w:rFonts w:asciiTheme="minorHAnsi" w:hAnsiTheme="minorHAnsi" w:cstheme="minorHAnsi"/>
          <w:sz w:val="24"/>
          <w:szCs w:val="24"/>
        </w:rPr>
        <w:t xml:space="preserve"> </w:t>
      </w:r>
      <w:proofErr w:type="spellStart"/>
      <w:r w:rsidRPr="000870A6">
        <w:rPr>
          <w:rFonts w:asciiTheme="minorHAnsi" w:hAnsiTheme="minorHAnsi" w:cstheme="minorHAnsi"/>
          <w:sz w:val="24"/>
          <w:szCs w:val="24"/>
        </w:rPr>
        <w:t>Member</w:t>
      </w:r>
      <w:proofErr w:type="spellEnd"/>
    </w:p>
    <w:p w14:paraId="53DA94F3" w14:textId="77777777" w:rsidR="00F43A38" w:rsidRPr="000870A6" w:rsidRDefault="00F43A38" w:rsidP="00F43A38">
      <w:pPr>
        <w:spacing w:after="0" w:line="276" w:lineRule="auto"/>
        <w:rPr>
          <w:rFonts w:cstheme="minorHAnsi"/>
          <w:sz w:val="24"/>
          <w:szCs w:val="24"/>
        </w:rPr>
      </w:pPr>
    </w:p>
    <w:p w14:paraId="039120C6" w14:textId="77777777" w:rsidR="00F43A38" w:rsidRPr="00E7269B" w:rsidRDefault="00F43A38" w:rsidP="00F43A38">
      <w:pPr>
        <w:spacing w:after="0" w:line="276" w:lineRule="auto"/>
        <w:rPr>
          <w:rFonts w:cstheme="minorHAnsi"/>
        </w:rPr>
      </w:pPr>
    </w:p>
    <w:p w14:paraId="1B1ACB66" w14:textId="77777777" w:rsidR="00F43A38" w:rsidRDefault="00F43A38" w:rsidP="00880E29">
      <w:pPr>
        <w:spacing w:after="0"/>
      </w:pPr>
    </w:p>
    <w:p w14:paraId="4C55E39E" w14:textId="7D010CE9" w:rsidR="007041B4" w:rsidRDefault="007041B4" w:rsidP="00880E29">
      <w:pPr>
        <w:spacing w:after="0"/>
      </w:pPr>
    </w:p>
    <w:p w14:paraId="2C5937DD" w14:textId="75C0DE71" w:rsidR="0031786B" w:rsidRDefault="0031786B" w:rsidP="00880E29">
      <w:pPr>
        <w:spacing w:after="0"/>
      </w:pPr>
    </w:p>
    <w:p w14:paraId="032287FF" w14:textId="5EC7E753" w:rsidR="0031786B" w:rsidRDefault="0031786B" w:rsidP="00880E29">
      <w:pPr>
        <w:spacing w:after="0"/>
      </w:pPr>
    </w:p>
    <w:p w14:paraId="36024302" w14:textId="0FD164C5" w:rsidR="0031786B" w:rsidRDefault="0031786B" w:rsidP="00880E29">
      <w:pPr>
        <w:spacing w:after="0"/>
      </w:pPr>
    </w:p>
    <w:p w14:paraId="6F138027" w14:textId="5A2846E9" w:rsidR="0031786B" w:rsidRDefault="0031786B" w:rsidP="00880E29">
      <w:pPr>
        <w:spacing w:after="0"/>
      </w:pPr>
    </w:p>
    <w:p w14:paraId="56354477" w14:textId="549071AE" w:rsidR="0031786B" w:rsidRDefault="0031786B" w:rsidP="00880E29">
      <w:pPr>
        <w:spacing w:after="0"/>
      </w:pPr>
    </w:p>
    <w:p w14:paraId="446601FE" w14:textId="186748B0" w:rsidR="0031786B" w:rsidRDefault="0031786B" w:rsidP="00880E29">
      <w:pPr>
        <w:spacing w:after="0"/>
      </w:pPr>
    </w:p>
    <w:p w14:paraId="4D5C527E" w14:textId="69D57B58" w:rsidR="0031786B" w:rsidRDefault="0031786B" w:rsidP="00880E29">
      <w:pPr>
        <w:spacing w:after="0"/>
      </w:pPr>
    </w:p>
    <w:p w14:paraId="3DE9DB6D" w14:textId="4F93B31F" w:rsidR="0031786B" w:rsidRDefault="0031786B" w:rsidP="00880E29">
      <w:pPr>
        <w:spacing w:after="0"/>
      </w:pPr>
    </w:p>
    <w:p w14:paraId="704B93E3" w14:textId="1E754D53" w:rsidR="0031786B" w:rsidRDefault="0031786B" w:rsidP="00880E29">
      <w:pPr>
        <w:spacing w:after="0"/>
      </w:pPr>
    </w:p>
    <w:p w14:paraId="15242553" w14:textId="26B88F29" w:rsidR="0031786B" w:rsidRDefault="0031786B" w:rsidP="00880E29">
      <w:pPr>
        <w:spacing w:after="0"/>
      </w:pPr>
    </w:p>
    <w:p w14:paraId="1158DF9B" w14:textId="7CB1C53F" w:rsidR="0031786B" w:rsidRDefault="0031786B" w:rsidP="00880E29">
      <w:pPr>
        <w:spacing w:after="0"/>
      </w:pPr>
      <w:r>
        <w:lastRenderedPageBreak/>
        <w:t xml:space="preserve">Enclosure 2 </w:t>
      </w:r>
      <w:r w:rsidR="00507886">
        <w:t>–</w:t>
      </w:r>
      <w:r>
        <w:t xml:space="preserve"> </w:t>
      </w:r>
      <w:r w:rsidR="00507886">
        <w:t>Criteria for Selection of Investment Advisory Firms to Receive RFQ’s</w:t>
      </w:r>
    </w:p>
    <w:p w14:paraId="4AE8ED69" w14:textId="64E8A1CB" w:rsidR="00507886" w:rsidRDefault="00507886" w:rsidP="00880E29">
      <w:pPr>
        <w:spacing w:after="0"/>
      </w:pPr>
    </w:p>
    <w:p w14:paraId="4B93E1FB" w14:textId="56B4A0C3" w:rsidR="00507886" w:rsidRDefault="00507886" w:rsidP="00507886">
      <w:pPr>
        <w:pStyle w:val="ListParagraph"/>
        <w:numPr>
          <w:ilvl w:val="0"/>
          <w:numId w:val="17"/>
        </w:numPr>
        <w:spacing w:after="0"/>
      </w:pPr>
      <w:r>
        <w:t>Be included on the NHDOJ list of Investment Advisors Doing Business in NH</w:t>
      </w:r>
      <w:r w:rsidR="007243DF">
        <w:t xml:space="preserve"> </w:t>
      </w:r>
      <w:r w:rsidR="007B28C2">
        <w:t xml:space="preserve">(See “List of Investment Advisors” at </w:t>
      </w:r>
      <w:hyperlink r:id="rId9" w:history="1">
        <w:r w:rsidR="007B28C2" w:rsidRPr="00087B71">
          <w:rPr>
            <w:rStyle w:val="Hyperlink"/>
          </w:rPr>
          <w:t>https://www.doj.nh.gov/charitable-trusts/municipalities.htm</w:t>
        </w:r>
      </w:hyperlink>
      <w:r>
        <w:t>.</w:t>
      </w:r>
      <w:r w:rsidR="007B28C2">
        <w:t xml:space="preserve">) </w:t>
      </w:r>
      <w:r>
        <w:t xml:space="preserve"> This list is </w:t>
      </w:r>
      <w:r w:rsidRPr="00507886">
        <w:rPr>
          <w:u w:val="single"/>
        </w:rPr>
        <w:t>not</w:t>
      </w:r>
      <w:r w:rsidRPr="00507886">
        <w:t xml:space="preserve"> a list of firms recommended</w:t>
      </w:r>
      <w:r>
        <w:t xml:space="preserve"> by NHDOJ</w:t>
      </w:r>
      <w:r w:rsidR="00B07ED7">
        <w:t>, but rather a list of firms which have taken the time to contact DOJ and request to be placed on the list.</w:t>
      </w:r>
    </w:p>
    <w:p w14:paraId="18BA98C2" w14:textId="628159FA" w:rsidR="00B07ED7" w:rsidRDefault="007B28C2" w:rsidP="00507886">
      <w:pPr>
        <w:pStyle w:val="ListParagraph"/>
        <w:numPr>
          <w:ilvl w:val="0"/>
          <w:numId w:val="17"/>
        </w:numPr>
        <w:spacing w:after="0"/>
      </w:pPr>
      <w:r w:rsidRPr="007B28C2">
        <w:rPr>
          <w:u w:val="single"/>
        </w:rPr>
        <w:t>Not</w:t>
      </w:r>
      <w:r>
        <w:t xml:space="preserve"> be a major US brokerage firm. While qualified, these firms </w:t>
      </w:r>
      <w:r w:rsidR="007811B6">
        <w:t>were not considered to be focused on the same goals as are the Trustees. In addition, present or future Trustees may have personal investment accounts with these firms, possibly creating conflicts of interests.</w:t>
      </w:r>
    </w:p>
    <w:p w14:paraId="1765C8A7" w14:textId="4D4151BF" w:rsidR="007811B6" w:rsidRDefault="007811B6" w:rsidP="00507886">
      <w:pPr>
        <w:pStyle w:val="ListParagraph"/>
        <w:numPr>
          <w:ilvl w:val="0"/>
          <w:numId w:val="17"/>
        </w:numPr>
        <w:spacing w:after="0"/>
      </w:pPr>
      <w:r>
        <w:t>Have an investment branch or office in the Seacoast area, Portsmouth-Concord-Manchester</w:t>
      </w:r>
      <w:r w:rsidR="00FC2AAC">
        <w:t>,</w:t>
      </w:r>
      <w:r w:rsidR="00F02394">
        <w:t xml:space="preserve"> so that distance is not an impediment to personal meetings with the Trustees.</w:t>
      </w:r>
    </w:p>
    <w:p w14:paraId="1B8D37C1" w14:textId="04E4E682" w:rsidR="007041B4" w:rsidRDefault="00F02394" w:rsidP="00880E29">
      <w:pPr>
        <w:pStyle w:val="ListParagraph"/>
        <w:numPr>
          <w:ilvl w:val="0"/>
          <w:numId w:val="17"/>
        </w:numPr>
        <w:spacing w:after="0"/>
      </w:pPr>
      <w:r>
        <w:t xml:space="preserve">Be of sufficient size to assure that </w:t>
      </w:r>
      <w:r w:rsidR="007C2DFA">
        <w:t xml:space="preserve">the firm has </w:t>
      </w:r>
      <w:r w:rsidR="00FC2AAC">
        <w:t>the</w:t>
      </w:r>
      <w:r>
        <w:t xml:space="preserve"> depth of advisory personnel and financial strength</w:t>
      </w:r>
      <w:r w:rsidR="007C2DFA">
        <w:t xml:space="preserve"> to be capable of continued operations in the face of market turmoil.</w:t>
      </w:r>
    </w:p>
    <w:p w14:paraId="1371435E" w14:textId="7B322172" w:rsidR="007041B4" w:rsidRDefault="007041B4" w:rsidP="00880E29">
      <w:pPr>
        <w:spacing w:after="0"/>
      </w:pPr>
    </w:p>
    <w:p w14:paraId="4D3A0A60" w14:textId="46ACD75F" w:rsidR="007041B4" w:rsidRDefault="007041B4" w:rsidP="00880E29">
      <w:pPr>
        <w:spacing w:after="0"/>
      </w:pPr>
    </w:p>
    <w:p w14:paraId="6FCF30D3" w14:textId="7A90FC45" w:rsidR="007041B4" w:rsidRDefault="007041B4" w:rsidP="00880E29">
      <w:pPr>
        <w:spacing w:after="0"/>
      </w:pPr>
    </w:p>
    <w:p w14:paraId="272AD961" w14:textId="31E230E3" w:rsidR="007041B4" w:rsidRDefault="007041B4" w:rsidP="00880E29">
      <w:pPr>
        <w:spacing w:after="0"/>
      </w:pPr>
    </w:p>
    <w:p w14:paraId="4D7A355A" w14:textId="645DA312" w:rsidR="007041B4" w:rsidRDefault="007041B4" w:rsidP="00880E29">
      <w:pPr>
        <w:spacing w:after="0"/>
      </w:pPr>
    </w:p>
    <w:p w14:paraId="7745E086" w14:textId="180F5912" w:rsidR="007041B4" w:rsidRDefault="007041B4" w:rsidP="00880E29">
      <w:pPr>
        <w:spacing w:after="0"/>
      </w:pPr>
    </w:p>
    <w:p w14:paraId="1FD8BA45" w14:textId="586E9B6B" w:rsidR="0064046A" w:rsidRDefault="0064046A" w:rsidP="00880E29">
      <w:pPr>
        <w:spacing w:after="0"/>
      </w:pPr>
    </w:p>
    <w:p w14:paraId="264D341C" w14:textId="7AD4E0A6" w:rsidR="0064046A" w:rsidRDefault="0064046A" w:rsidP="00880E29">
      <w:pPr>
        <w:spacing w:after="0"/>
      </w:pPr>
    </w:p>
    <w:p w14:paraId="53BB2F46" w14:textId="4F116AB8" w:rsidR="0064046A" w:rsidRDefault="0064046A" w:rsidP="00880E29">
      <w:pPr>
        <w:spacing w:after="0"/>
      </w:pPr>
    </w:p>
    <w:p w14:paraId="6A37E9F6" w14:textId="7E176964" w:rsidR="0064046A" w:rsidRDefault="0064046A" w:rsidP="00880E29">
      <w:pPr>
        <w:spacing w:after="0"/>
      </w:pPr>
    </w:p>
    <w:p w14:paraId="6333182A" w14:textId="3A32E065" w:rsidR="0064046A" w:rsidRDefault="0064046A" w:rsidP="00880E29">
      <w:pPr>
        <w:spacing w:after="0"/>
      </w:pPr>
    </w:p>
    <w:p w14:paraId="4CD75410" w14:textId="7BC0CDB0" w:rsidR="0064046A" w:rsidRDefault="0064046A" w:rsidP="00880E29">
      <w:pPr>
        <w:spacing w:after="0"/>
      </w:pPr>
    </w:p>
    <w:p w14:paraId="2E9FDE03" w14:textId="4614E358" w:rsidR="0064046A" w:rsidRDefault="0064046A" w:rsidP="00880E29">
      <w:pPr>
        <w:spacing w:after="0"/>
      </w:pPr>
    </w:p>
    <w:p w14:paraId="2A628109" w14:textId="1FFCF67C" w:rsidR="0064046A" w:rsidRDefault="0064046A" w:rsidP="00880E29">
      <w:pPr>
        <w:spacing w:after="0"/>
      </w:pPr>
    </w:p>
    <w:p w14:paraId="4688C013" w14:textId="073D6841" w:rsidR="0064046A" w:rsidRDefault="0064046A" w:rsidP="00880E29">
      <w:pPr>
        <w:spacing w:after="0"/>
      </w:pPr>
    </w:p>
    <w:p w14:paraId="59D546CD" w14:textId="660A015C" w:rsidR="0064046A" w:rsidRDefault="0064046A" w:rsidP="00880E29">
      <w:pPr>
        <w:spacing w:after="0"/>
      </w:pPr>
    </w:p>
    <w:p w14:paraId="28E30CED" w14:textId="2973A628" w:rsidR="0064046A" w:rsidRDefault="0064046A" w:rsidP="00880E29">
      <w:pPr>
        <w:spacing w:after="0"/>
      </w:pPr>
    </w:p>
    <w:p w14:paraId="54BA2000" w14:textId="036A872E" w:rsidR="0064046A" w:rsidRDefault="0064046A" w:rsidP="00880E29">
      <w:pPr>
        <w:spacing w:after="0"/>
      </w:pPr>
    </w:p>
    <w:p w14:paraId="28D0A7C2" w14:textId="67C09238" w:rsidR="0064046A" w:rsidRDefault="0064046A" w:rsidP="00880E29">
      <w:pPr>
        <w:spacing w:after="0"/>
      </w:pPr>
    </w:p>
    <w:p w14:paraId="61B658E4" w14:textId="2B7D07E8" w:rsidR="0064046A" w:rsidRDefault="0064046A" w:rsidP="00880E29">
      <w:pPr>
        <w:spacing w:after="0"/>
      </w:pPr>
    </w:p>
    <w:p w14:paraId="76A52A64" w14:textId="395839BC" w:rsidR="0064046A" w:rsidRDefault="0064046A" w:rsidP="00880E29">
      <w:pPr>
        <w:spacing w:after="0"/>
      </w:pPr>
    </w:p>
    <w:p w14:paraId="08ABC16F" w14:textId="40287486" w:rsidR="0064046A" w:rsidRDefault="0064046A" w:rsidP="00880E29">
      <w:pPr>
        <w:spacing w:after="0"/>
      </w:pPr>
    </w:p>
    <w:p w14:paraId="6B0B112B" w14:textId="229E8C51" w:rsidR="0064046A" w:rsidRDefault="0064046A" w:rsidP="00880E29">
      <w:pPr>
        <w:spacing w:after="0"/>
      </w:pPr>
    </w:p>
    <w:p w14:paraId="3779D645" w14:textId="581DDC8C" w:rsidR="0064046A" w:rsidRDefault="0064046A" w:rsidP="00880E29">
      <w:pPr>
        <w:spacing w:after="0"/>
      </w:pPr>
    </w:p>
    <w:p w14:paraId="0CA2CBA4" w14:textId="5C6B11D1" w:rsidR="0064046A" w:rsidRDefault="0064046A" w:rsidP="00880E29">
      <w:pPr>
        <w:spacing w:after="0"/>
      </w:pPr>
    </w:p>
    <w:p w14:paraId="12976475" w14:textId="54F594B3" w:rsidR="0064046A" w:rsidRDefault="0064046A" w:rsidP="00880E29">
      <w:pPr>
        <w:spacing w:after="0"/>
      </w:pPr>
    </w:p>
    <w:p w14:paraId="6C5679B5" w14:textId="4C87F70F" w:rsidR="0064046A" w:rsidRDefault="0064046A" w:rsidP="00880E29">
      <w:pPr>
        <w:spacing w:after="0"/>
      </w:pPr>
    </w:p>
    <w:p w14:paraId="171DE048" w14:textId="7031D7DC" w:rsidR="0064046A" w:rsidRDefault="0064046A" w:rsidP="00880E29">
      <w:pPr>
        <w:spacing w:after="0"/>
      </w:pPr>
    </w:p>
    <w:p w14:paraId="43330B7B" w14:textId="184C5191" w:rsidR="0064046A" w:rsidRDefault="0064046A" w:rsidP="00880E29">
      <w:pPr>
        <w:spacing w:after="0"/>
      </w:pPr>
    </w:p>
    <w:p w14:paraId="42E1E006" w14:textId="6E5C106E" w:rsidR="0064046A" w:rsidRDefault="0064046A" w:rsidP="00880E29">
      <w:pPr>
        <w:spacing w:after="0"/>
      </w:pPr>
    </w:p>
    <w:p w14:paraId="5CEF4C63" w14:textId="635258B1" w:rsidR="0064046A" w:rsidRDefault="0064046A" w:rsidP="00880E29">
      <w:pPr>
        <w:spacing w:after="0"/>
      </w:pPr>
    </w:p>
    <w:p w14:paraId="69215943" w14:textId="3F6A4CCF" w:rsidR="0064046A" w:rsidRDefault="0064046A" w:rsidP="00880E29">
      <w:pPr>
        <w:spacing w:after="0"/>
      </w:pPr>
    </w:p>
    <w:p w14:paraId="6C11897F" w14:textId="77D4C757" w:rsidR="0064046A" w:rsidRDefault="0064046A" w:rsidP="00880E29">
      <w:pPr>
        <w:spacing w:after="0"/>
      </w:pPr>
    </w:p>
    <w:p w14:paraId="38F05EB3" w14:textId="786DC9DF" w:rsidR="0064046A" w:rsidRDefault="0064046A" w:rsidP="00880E29">
      <w:pPr>
        <w:spacing w:after="0"/>
      </w:pPr>
    </w:p>
    <w:p w14:paraId="2649F159" w14:textId="674DD7A1" w:rsidR="0064046A" w:rsidRDefault="0064046A" w:rsidP="00880E29">
      <w:pPr>
        <w:spacing w:after="0"/>
      </w:pPr>
    </w:p>
    <w:p w14:paraId="30562417" w14:textId="41D705AE" w:rsidR="0064046A" w:rsidRDefault="0064046A" w:rsidP="00880E29">
      <w:pPr>
        <w:spacing w:after="0"/>
      </w:pPr>
      <w:r>
        <w:lastRenderedPageBreak/>
        <w:t>Enclosure 3 – Firms Selected to Submit RFQs</w:t>
      </w:r>
      <w:r w:rsidR="00F84B9D">
        <w:t xml:space="preserve"> (Addresses from NHDOJ list </w:t>
      </w:r>
      <w:r w:rsidR="004C1980">
        <w:t>– as submitted</w:t>
      </w:r>
      <w:r w:rsidR="00D92796">
        <w:t xml:space="preserve"> or corrected</w:t>
      </w:r>
      <w:r w:rsidR="004C1980">
        <w:t>)</w:t>
      </w:r>
    </w:p>
    <w:p w14:paraId="0762179B" w14:textId="460F38B6" w:rsidR="0064046A" w:rsidRDefault="0064046A" w:rsidP="00880E29">
      <w:pPr>
        <w:spacing w:after="0"/>
      </w:pPr>
    </w:p>
    <w:p w14:paraId="49517A10" w14:textId="6F5561ED" w:rsidR="00F84B9D" w:rsidRDefault="00F84B9D" w:rsidP="00F84B9D">
      <w:pPr>
        <w:spacing w:after="0"/>
      </w:pPr>
      <w:r>
        <w:t>Cambridge Trust Company</w:t>
      </w:r>
      <w:r w:rsidR="001A4CB5">
        <w:t xml:space="preserve"> New Hampshire</w:t>
      </w:r>
    </w:p>
    <w:p w14:paraId="55C495B2" w14:textId="77777777" w:rsidR="00F84B9D" w:rsidRDefault="00F84B9D" w:rsidP="00F84B9D">
      <w:pPr>
        <w:spacing w:after="0"/>
      </w:pPr>
      <w:r>
        <w:t>Portsmouth Wealth Management Office</w:t>
      </w:r>
    </w:p>
    <w:p w14:paraId="71AFBE5A" w14:textId="77777777" w:rsidR="00F84B9D" w:rsidRDefault="00F84B9D" w:rsidP="00F84B9D">
      <w:pPr>
        <w:spacing w:after="0"/>
      </w:pPr>
      <w:r>
        <w:t xml:space="preserve">Two </w:t>
      </w:r>
      <w:proofErr w:type="spellStart"/>
      <w:r>
        <w:t>Harbour</w:t>
      </w:r>
      <w:proofErr w:type="spellEnd"/>
      <w:r>
        <w:t xml:space="preserve"> Place, First Floor</w:t>
      </w:r>
    </w:p>
    <w:p w14:paraId="7E268A16" w14:textId="77777777" w:rsidR="00F84B9D" w:rsidRDefault="00F84B9D" w:rsidP="00F84B9D">
      <w:pPr>
        <w:spacing w:after="0"/>
      </w:pPr>
      <w:r>
        <w:t>Portsmouth, NH 03801</w:t>
      </w:r>
    </w:p>
    <w:p w14:paraId="278C76E3" w14:textId="77777777" w:rsidR="00F84B9D" w:rsidRDefault="00F84B9D" w:rsidP="00F84B9D">
      <w:pPr>
        <w:spacing w:after="0"/>
      </w:pPr>
    </w:p>
    <w:p w14:paraId="52B9B6E9" w14:textId="77777777" w:rsidR="00F84B9D" w:rsidRDefault="00F84B9D" w:rsidP="00F84B9D">
      <w:pPr>
        <w:spacing w:after="0"/>
      </w:pPr>
      <w:r>
        <w:t>Charter Trust Company</w:t>
      </w:r>
    </w:p>
    <w:p w14:paraId="39AAD752" w14:textId="77777777" w:rsidR="00F84B9D" w:rsidRDefault="00F84B9D" w:rsidP="00F84B9D">
      <w:pPr>
        <w:spacing w:after="0"/>
      </w:pPr>
      <w:r>
        <w:t>Corporate Office</w:t>
      </w:r>
    </w:p>
    <w:p w14:paraId="6A1333FC" w14:textId="77777777" w:rsidR="00F84B9D" w:rsidRDefault="00F84B9D" w:rsidP="00F84B9D">
      <w:pPr>
        <w:spacing w:after="0"/>
      </w:pPr>
      <w:r>
        <w:t>90 North Main Street</w:t>
      </w:r>
    </w:p>
    <w:p w14:paraId="7DBE4A85" w14:textId="77777777" w:rsidR="00F84B9D" w:rsidRDefault="00F84B9D" w:rsidP="00F84B9D">
      <w:pPr>
        <w:spacing w:after="0"/>
      </w:pPr>
      <w:r>
        <w:t>Concord, NH 03301</w:t>
      </w:r>
    </w:p>
    <w:p w14:paraId="083DD9D0" w14:textId="77777777" w:rsidR="00F84B9D" w:rsidRDefault="00F84B9D" w:rsidP="00F84B9D">
      <w:pPr>
        <w:spacing w:after="0"/>
      </w:pPr>
    </w:p>
    <w:p w14:paraId="47D9C007" w14:textId="155E5764" w:rsidR="00F84B9D" w:rsidRPr="004D109A" w:rsidRDefault="00F84B9D" w:rsidP="00F84B9D">
      <w:pPr>
        <w:spacing w:after="0"/>
      </w:pPr>
      <w:r w:rsidRPr="004D109A">
        <w:rPr>
          <w:strike/>
        </w:rPr>
        <w:t>Citizen’s Bank</w:t>
      </w:r>
      <w:r w:rsidR="004D109A">
        <w:tab/>
      </w:r>
      <w:r w:rsidR="004D109A">
        <w:tab/>
      </w:r>
      <w:r w:rsidR="004D109A">
        <w:tab/>
      </w:r>
      <w:r w:rsidR="004D109A">
        <w:tab/>
      </w:r>
      <w:r w:rsidR="004D109A">
        <w:tab/>
      </w:r>
      <w:r w:rsidR="004D109A">
        <w:tab/>
      </w:r>
      <w:r w:rsidR="004D109A">
        <w:tab/>
      </w:r>
      <w:proofErr w:type="spellStart"/>
      <w:r w:rsidR="004D109A">
        <w:t>Clarfeld</w:t>
      </w:r>
      <w:proofErr w:type="spellEnd"/>
      <w:r w:rsidR="004D109A">
        <w:t xml:space="preserve"> – Citizens Private Wealth</w:t>
      </w:r>
    </w:p>
    <w:p w14:paraId="07A8A09E" w14:textId="35C32523" w:rsidR="00F84B9D" w:rsidRPr="004D109A" w:rsidRDefault="00F84B9D" w:rsidP="00F84B9D">
      <w:pPr>
        <w:spacing w:after="0"/>
      </w:pPr>
      <w:r w:rsidRPr="004D109A">
        <w:rPr>
          <w:strike/>
        </w:rPr>
        <w:t>Government Banking Division, Citizens Commercial Banking</w:t>
      </w:r>
      <w:r w:rsidR="004D109A">
        <w:tab/>
        <w:t>520 White Plains Road, Floor 3</w:t>
      </w:r>
    </w:p>
    <w:p w14:paraId="6B26793B" w14:textId="2F837C96" w:rsidR="00F84B9D" w:rsidRPr="004D109A" w:rsidRDefault="00F84B9D" w:rsidP="00F84B9D">
      <w:pPr>
        <w:spacing w:after="0"/>
      </w:pPr>
      <w:r w:rsidRPr="004D109A">
        <w:rPr>
          <w:strike/>
        </w:rPr>
        <w:t>900 Elm Street NE1680</w:t>
      </w:r>
      <w:r w:rsidR="004D109A">
        <w:tab/>
      </w:r>
      <w:r w:rsidR="004D109A">
        <w:tab/>
      </w:r>
      <w:r w:rsidR="004D109A">
        <w:tab/>
      </w:r>
      <w:r w:rsidR="004D109A">
        <w:tab/>
      </w:r>
      <w:r w:rsidR="004D109A">
        <w:tab/>
      </w:r>
      <w:r w:rsidR="004D109A">
        <w:tab/>
        <w:t>Tarrytown, NY 10591</w:t>
      </w:r>
    </w:p>
    <w:p w14:paraId="3E05B03D" w14:textId="77777777" w:rsidR="00F84B9D" w:rsidRDefault="00F84B9D" w:rsidP="00F84B9D">
      <w:pPr>
        <w:spacing w:after="0"/>
      </w:pPr>
      <w:r w:rsidRPr="004D109A">
        <w:rPr>
          <w:strike/>
        </w:rPr>
        <w:t>Manchester, NH 03101</w:t>
      </w:r>
    </w:p>
    <w:p w14:paraId="7B46EBE6" w14:textId="77777777" w:rsidR="00F84B9D" w:rsidRDefault="00F84B9D" w:rsidP="00F84B9D">
      <w:pPr>
        <w:spacing w:after="0"/>
      </w:pPr>
    </w:p>
    <w:p w14:paraId="6AD4CB4A" w14:textId="2195A86C" w:rsidR="00F84B9D" w:rsidRPr="001A4CB5" w:rsidRDefault="00F84B9D" w:rsidP="00F84B9D">
      <w:pPr>
        <w:spacing w:after="0"/>
      </w:pPr>
      <w:r w:rsidRPr="001A4CB5">
        <w:rPr>
          <w:strike/>
        </w:rPr>
        <w:t>TD Bank, NA</w:t>
      </w:r>
      <w:r w:rsidR="001A4CB5">
        <w:tab/>
      </w:r>
      <w:r w:rsidR="001A4CB5">
        <w:tab/>
      </w:r>
      <w:r w:rsidR="001A4CB5">
        <w:tab/>
      </w:r>
      <w:r w:rsidR="001A4CB5">
        <w:tab/>
      </w:r>
      <w:r w:rsidR="001A4CB5">
        <w:tab/>
      </w:r>
      <w:r w:rsidR="001A4CB5">
        <w:tab/>
      </w:r>
      <w:r w:rsidR="001A4CB5">
        <w:tab/>
        <w:t>TD Private Client Wealth LLC</w:t>
      </w:r>
    </w:p>
    <w:p w14:paraId="0087D617" w14:textId="617A6811" w:rsidR="00F84B9D" w:rsidRPr="001A4CB5" w:rsidRDefault="00F84B9D" w:rsidP="00F84B9D">
      <w:pPr>
        <w:spacing w:after="0"/>
      </w:pPr>
      <w:r w:rsidRPr="001A4CB5">
        <w:rPr>
          <w:strike/>
        </w:rPr>
        <w:t>Government Bankin</w:t>
      </w:r>
      <w:r w:rsidR="001A4CB5">
        <w:rPr>
          <w:strike/>
        </w:rPr>
        <w:t>g</w:t>
      </w:r>
      <w:r w:rsidR="001A4CB5">
        <w:tab/>
      </w:r>
      <w:r w:rsidR="001A4CB5">
        <w:tab/>
      </w:r>
      <w:r w:rsidR="001A4CB5">
        <w:tab/>
      </w:r>
      <w:r w:rsidR="001A4CB5">
        <w:tab/>
      </w:r>
      <w:r w:rsidR="001A4CB5">
        <w:tab/>
      </w:r>
      <w:r w:rsidR="001A4CB5">
        <w:tab/>
        <w:t>One Portland Square</w:t>
      </w:r>
    </w:p>
    <w:p w14:paraId="762CDBBC" w14:textId="67CE1A19" w:rsidR="00F84B9D" w:rsidRPr="001A4CB5" w:rsidRDefault="00F84B9D" w:rsidP="00F84B9D">
      <w:pPr>
        <w:spacing w:after="0"/>
      </w:pPr>
      <w:r w:rsidRPr="001A4CB5">
        <w:rPr>
          <w:strike/>
        </w:rPr>
        <w:t>PO Box 477</w:t>
      </w:r>
      <w:r w:rsidR="001A4CB5">
        <w:tab/>
      </w:r>
      <w:r w:rsidR="001A4CB5">
        <w:tab/>
      </w:r>
      <w:r w:rsidR="001A4CB5">
        <w:tab/>
      </w:r>
      <w:r w:rsidR="001A4CB5">
        <w:tab/>
      </w:r>
      <w:r w:rsidR="001A4CB5">
        <w:tab/>
      </w:r>
      <w:r w:rsidR="001A4CB5">
        <w:tab/>
      </w:r>
      <w:r w:rsidR="001A4CB5">
        <w:tab/>
        <w:t>Portland, ME 04101</w:t>
      </w:r>
    </w:p>
    <w:p w14:paraId="31F6C205" w14:textId="77777777" w:rsidR="00F84B9D" w:rsidRDefault="00F84B9D" w:rsidP="00F84B9D">
      <w:pPr>
        <w:spacing w:after="0"/>
      </w:pPr>
      <w:r w:rsidRPr="001A4CB5">
        <w:rPr>
          <w:strike/>
        </w:rPr>
        <w:t>Concord, NH 03302</w:t>
      </w:r>
    </w:p>
    <w:p w14:paraId="627E0F75" w14:textId="77777777" w:rsidR="00F84B9D" w:rsidRDefault="00F84B9D" w:rsidP="00F84B9D">
      <w:pPr>
        <w:spacing w:after="0"/>
      </w:pPr>
    </w:p>
    <w:p w14:paraId="1923ECF3" w14:textId="5D6768B5" w:rsidR="00F84B9D" w:rsidRDefault="00F84B9D" w:rsidP="00F84B9D">
      <w:pPr>
        <w:spacing w:after="0"/>
      </w:pPr>
      <w:r>
        <w:t>US Trust Company, Bank of America P</w:t>
      </w:r>
      <w:r w:rsidR="00D92796">
        <w:t>v</w:t>
      </w:r>
      <w:r w:rsidR="001028A0">
        <w:t>t</w:t>
      </w:r>
      <w:r>
        <w:t xml:space="preserve"> Wealth </w:t>
      </w:r>
      <w:proofErr w:type="spellStart"/>
      <w:r>
        <w:t>M</w:t>
      </w:r>
      <w:r w:rsidR="00D92796">
        <w:t>g</w:t>
      </w:r>
      <w:r>
        <w:t>nt</w:t>
      </w:r>
      <w:proofErr w:type="spellEnd"/>
      <w:r w:rsidR="00D92796">
        <w:tab/>
      </w:r>
      <w:r w:rsidR="00D92796">
        <w:tab/>
      </w:r>
      <w:r w:rsidR="004D109A">
        <w:t>No Response-Addressee Unknown</w:t>
      </w:r>
    </w:p>
    <w:p w14:paraId="1245D9E8" w14:textId="77777777" w:rsidR="00F84B9D" w:rsidRDefault="00F84B9D" w:rsidP="00F84B9D">
      <w:pPr>
        <w:spacing w:after="0"/>
      </w:pPr>
      <w:r>
        <w:t>1155 Elm Street, 3d Floor</w:t>
      </w:r>
    </w:p>
    <w:p w14:paraId="1CC55287" w14:textId="77777777" w:rsidR="00F84B9D" w:rsidRDefault="00F84B9D" w:rsidP="00F84B9D">
      <w:pPr>
        <w:spacing w:after="0"/>
      </w:pPr>
      <w:r>
        <w:t>Manchester, NH 03101</w:t>
      </w:r>
    </w:p>
    <w:p w14:paraId="58FBD630" w14:textId="77777777" w:rsidR="00F84B9D" w:rsidRDefault="00F84B9D" w:rsidP="00F84B9D">
      <w:pPr>
        <w:spacing w:after="0"/>
      </w:pPr>
    </w:p>
    <w:p w14:paraId="5054E4C6" w14:textId="77777777" w:rsidR="00F84B9D" w:rsidRDefault="00F84B9D" w:rsidP="00F84B9D">
      <w:pPr>
        <w:spacing w:after="0"/>
      </w:pPr>
      <w:r>
        <w:t>People’s United Wealth Management</w:t>
      </w:r>
    </w:p>
    <w:p w14:paraId="63D96B00" w14:textId="77777777" w:rsidR="00F84B9D" w:rsidRDefault="00F84B9D" w:rsidP="00F84B9D">
      <w:pPr>
        <w:spacing w:after="0"/>
      </w:pPr>
      <w:r>
        <w:t>Attn: John Frost, Sr.</w:t>
      </w:r>
    </w:p>
    <w:p w14:paraId="26EACE7F" w14:textId="77777777" w:rsidR="00F84B9D" w:rsidRDefault="00F84B9D" w:rsidP="00F84B9D">
      <w:pPr>
        <w:spacing w:after="0"/>
      </w:pPr>
      <w:r>
        <w:t>350 Fore Street</w:t>
      </w:r>
    </w:p>
    <w:p w14:paraId="19009C68" w14:textId="77777777" w:rsidR="00F84B9D" w:rsidRDefault="00F84B9D" w:rsidP="00F84B9D">
      <w:pPr>
        <w:spacing w:after="0"/>
      </w:pPr>
      <w:r>
        <w:t>Portland, ME 04101</w:t>
      </w:r>
    </w:p>
    <w:p w14:paraId="50FF75EF" w14:textId="77777777" w:rsidR="003C7E7C" w:rsidRDefault="003C7E7C" w:rsidP="00880E29">
      <w:pPr>
        <w:spacing w:after="0"/>
      </w:pPr>
    </w:p>
    <w:p w14:paraId="2E452318" w14:textId="30E2207F" w:rsidR="0064046A" w:rsidRDefault="0064046A" w:rsidP="00880E29">
      <w:pPr>
        <w:spacing w:after="0"/>
      </w:pPr>
    </w:p>
    <w:p w14:paraId="6E05869E" w14:textId="369527E9" w:rsidR="005A629D" w:rsidRDefault="005A629D" w:rsidP="00880E29">
      <w:pPr>
        <w:spacing w:after="0"/>
      </w:pPr>
    </w:p>
    <w:p w14:paraId="1328D436" w14:textId="4C609110" w:rsidR="005A629D" w:rsidRDefault="005A629D" w:rsidP="00880E29">
      <w:pPr>
        <w:spacing w:after="0"/>
      </w:pPr>
    </w:p>
    <w:p w14:paraId="2FA9FAAA" w14:textId="3BA1E47B" w:rsidR="005A629D" w:rsidRDefault="005A629D" w:rsidP="00880E29">
      <w:pPr>
        <w:spacing w:after="0"/>
      </w:pPr>
    </w:p>
    <w:p w14:paraId="4CC722D1" w14:textId="2522C37B" w:rsidR="005A629D" w:rsidRDefault="005A629D" w:rsidP="00880E29">
      <w:pPr>
        <w:spacing w:after="0"/>
      </w:pPr>
    </w:p>
    <w:p w14:paraId="41B2023A" w14:textId="1FF37C36" w:rsidR="005A629D" w:rsidRDefault="005A629D" w:rsidP="00880E29">
      <w:pPr>
        <w:spacing w:after="0"/>
      </w:pPr>
    </w:p>
    <w:p w14:paraId="5AF0F643" w14:textId="56BEC64E" w:rsidR="005A629D" w:rsidRDefault="005A629D" w:rsidP="00880E29">
      <w:pPr>
        <w:spacing w:after="0"/>
      </w:pPr>
    </w:p>
    <w:p w14:paraId="6FCA80CA" w14:textId="01C8D1A5" w:rsidR="005A629D" w:rsidRDefault="005A629D" w:rsidP="00880E29">
      <w:pPr>
        <w:spacing w:after="0"/>
      </w:pPr>
    </w:p>
    <w:p w14:paraId="101F4AD6" w14:textId="25CDAB50" w:rsidR="005A629D" w:rsidRDefault="005A629D" w:rsidP="00880E29">
      <w:pPr>
        <w:spacing w:after="0"/>
      </w:pPr>
    </w:p>
    <w:p w14:paraId="5E31DB27" w14:textId="4C665DEC" w:rsidR="005A629D" w:rsidRDefault="005A629D" w:rsidP="00880E29">
      <w:pPr>
        <w:spacing w:after="0"/>
      </w:pPr>
    </w:p>
    <w:p w14:paraId="0E2E12B6" w14:textId="448A15A6" w:rsidR="005A629D" w:rsidRDefault="005A629D" w:rsidP="00880E29">
      <w:pPr>
        <w:spacing w:after="0"/>
      </w:pPr>
    </w:p>
    <w:p w14:paraId="006D5E12" w14:textId="7B6D489F" w:rsidR="005A629D" w:rsidRDefault="005A629D" w:rsidP="00880E29">
      <w:pPr>
        <w:spacing w:after="0"/>
      </w:pPr>
    </w:p>
    <w:p w14:paraId="2A87FC91" w14:textId="2C107194" w:rsidR="005A629D" w:rsidRDefault="005A629D" w:rsidP="00880E29">
      <w:pPr>
        <w:spacing w:after="0"/>
      </w:pPr>
    </w:p>
    <w:p w14:paraId="0DE1F3F0" w14:textId="74507B3E" w:rsidR="005A629D" w:rsidRDefault="005A629D" w:rsidP="00880E29">
      <w:pPr>
        <w:spacing w:after="0"/>
      </w:pPr>
    </w:p>
    <w:p w14:paraId="4E94E3EC" w14:textId="75D6AB62" w:rsidR="005A629D" w:rsidRDefault="005A629D" w:rsidP="00880E29">
      <w:pPr>
        <w:spacing w:after="0"/>
      </w:pPr>
    </w:p>
    <w:p w14:paraId="4779CE81" w14:textId="4446D3F7" w:rsidR="005A629D" w:rsidRDefault="005A629D" w:rsidP="00880E29">
      <w:pPr>
        <w:spacing w:after="0"/>
      </w:pPr>
    </w:p>
    <w:p w14:paraId="6C3E7462" w14:textId="7E6EB146" w:rsidR="005A629D" w:rsidRDefault="005A629D" w:rsidP="00880E29">
      <w:pPr>
        <w:spacing w:after="0"/>
      </w:pPr>
    </w:p>
    <w:p w14:paraId="7793C396" w14:textId="5A5A10B4" w:rsidR="005A629D" w:rsidRDefault="005A629D" w:rsidP="00880E29">
      <w:pPr>
        <w:spacing w:after="0"/>
      </w:pPr>
      <w:r>
        <w:lastRenderedPageBreak/>
        <w:t>Enclosure 4-Sample Evaluation Form</w:t>
      </w:r>
    </w:p>
    <w:p w14:paraId="4C3F9D16" w14:textId="28F96F5F" w:rsidR="005A629D" w:rsidRDefault="005A629D" w:rsidP="00880E29">
      <w:pPr>
        <w:spacing w:after="0"/>
      </w:pPr>
    </w:p>
    <w:p w14:paraId="79B0D614" w14:textId="77777777" w:rsidR="00B46B1B" w:rsidRPr="00B46B1B" w:rsidRDefault="00B46B1B" w:rsidP="00B46B1B">
      <w:pPr>
        <w:spacing w:after="0"/>
        <w:outlineLvl w:val="0"/>
        <w:rPr>
          <w:rFonts w:eastAsia="Times New Roman" w:cs="Times New Roman"/>
        </w:rPr>
      </w:pPr>
      <w:r w:rsidRPr="00B46B1B">
        <w:rPr>
          <w:rFonts w:eastAsia="Times New Roman" w:cs="Times New Roman"/>
        </w:rPr>
        <w:softHyphen/>
      </w:r>
      <w:r w:rsidRPr="00B46B1B">
        <w:rPr>
          <w:rFonts w:eastAsia="Times New Roman" w:cs="Times New Roman"/>
        </w:rPr>
        <w:softHyphen/>
      </w:r>
      <w:r w:rsidRPr="00B46B1B">
        <w:rPr>
          <w:rFonts w:eastAsia="Times New Roman" w:cs="Times New Roman"/>
        </w:rPr>
        <w:softHyphen/>
      </w:r>
      <w:r w:rsidRPr="00B46B1B">
        <w:rPr>
          <w:rFonts w:eastAsia="Times New Roman" w:cs="Times New Roman"/>
        </w:rPr>
        <w:softHyphen/>
      </w:r>
      <w:r w:rsidRPr="00B46B1B">
        <w:rPr>
          <w:rFonts w:eastAsia="Times New Roman" w:cs="Times New Roman"/>
        </w:rPr>
        <w:softHyphen/>
        <w:t>RFQ – Financial Advisor - Durham Trustees of the Trust Funds               __________________</w:t>
      </w:r>
      <w:r w:rsidRPr="00B46B1B">
        <w:rPr>
          <w:rFonts w:eastAsia="Times New Roman" w:cs="Times New Roman"/>
        </w:rPr>
        <w:softHyphen/>
      </w:r>
      <w:r w:rsidRPr="00B46B1B">
        <w:rPr>
          <w:rFonts w:eastAsia="Times New Roman" w:cs="Times New Roman"/>
        </w:rPr>
        <w:softHyphen/>
      </w:r>
      <w:r w:rsidRPr="00B46B1B">
        <w:rPr>
          <w:rFonts w:eastAsia="Times New Roman" w:cs="Times New Roman"/>
        </w:rPr>
        <w:softHyphen/>
      </w:r>
      <w:r w:rsidRPr="00B46B1B">
        <w:rPr>
          <w:rFonts w:eastAsia="Times New Roman" w:cs="Times New Roman"/>
        </w:rPr>
        <w:softHyphen/>
      </w:r>
      <w:r w:rsidRPr="00B46B1B">
        <w:rPr>
          <w:rFonts w:eastAsia="Times New Roman" w:cs="Times New Roman"/>
        </w:rPr>
        <w:softHyphen/>
      </w:r>
      <w:r w:rsidRPr="00B46B1B">
        <w:rPr>
          <w:rFonts w:eastAsia="Times New Roman" w:cs="Times New Roman"/>
        </w:rPr>
        <w:softHyphen/>
        <w:t>- Trustee</w:t>
      </w:r>
    </w:p>
    <w:p w14:paraId="1011B381" w14:textId="77777777" w:rsidR="00B46B1B" w:rsidRPr="00665D88" w:rsidRDefault="00B46B1B" w:rsidP="00B46B1B">
      <w:pPr>
        <w:spacing w:after="0"/>
        <w:outlineLvl w:val="0"/>
        <w:rPr>
          <w:rFonts w:eastAsia="Times New Roman" w:cs="Times New Roman"/>
          <w:sz w:val="16"/>
          <w:szCs w:val="16"/>
        </w:rPr>
      </w:pPr>
    </w:p>
    <w:p w14:paraId="1220279E" w14:textId="77777777" w:rsidR="00B46B1B" w:rsidRPr="00B46B1B" w:rsidRDefault="00B46B1B" w:rsidP="00B46B1B">
      <w:pPr>
        <w:spacing w:after="0"/>
        <w:outlineLvl w:val="0"/>
        <w:rPr>
          <w:rFonts w:eastAsia="Times New Roman" w:cs="Times New Roman"/>
        </w:rPr>
      </w:pPr>
      <w:r w:rsidRPr="00B46B1B">
        <w:rPr>
          <w:rFonts w:eastAsia="Times New Roman" w:cs="Times New Roman"/>
        </w:rPr>
        <w:t>Response Checklist and Comments</w:t>
      </w:r>
    </w:p>
    <w:p w14:paraId="769CA45F" w14:textId="77777777" w:rsidR="00B46B1B" w:rsidRPr="00B46B1B" w:rsidRDefault="00B46B1B" w:rsidP="00B46B1B">
      <w:pPr>
        <w:numPr>
          <w:ilvl w:val="0"/>
          <w:numId w:val="20"/>
        </w:numPr>
        <w:spacing w:after="0"/>
        <w:contextualSpacing/>
        <w:outlineLvl w:val="0"/>
        <w:rPr>
          <w:rFonts w:eastAsia="Times New Roman" w:cs="Times New Roman"/>
          <w:sz w:val="18"/>
          <w:szCs w:val="18"/>
        </w:rPr>
      </w:pPr>
      <w:r w:rsidRPr="00B46B1B">
        <w:rPr>
          <w:rFonts w:eastAsia="Times New Roman" w:cs="Times New Roman"/>
          <w:sz w:val="18"/>
          <w:szCs w:val="18"/>
        </w:rPr>
        <w:t>A cover letter, signed by an officer of the respondent’s firm having the authority to commit the firm to contracts, which expresses the respondent’s overall approach to municipal trustee investment accounts, and to Durham’s Trustee Account in particular.</w:t>
      </w:r>
    </w:p>
    <w:p w14:paraId="725AD7C1" w14:textId="77777777" w:rsidR="00B46B1B" w:rsidRPr="00B46B1B" w:rsidRDefault="00B46B1B" w:rsidP="00B46B1B">
      <w:pPr>
        <w:numPr>
          <w:ilvl w:val="0"/>
          <w:numId w:val="20"/>
        </w:numPr>
        <w:spacing w:after="0"/>
        <w:contextualSpacing/>
        <w:outlineLvl w:val="0"/>
        <w:rPr>
          <w:rFonts w:eastAsia="Times New Roman" w:cs="Times New Roman"/>
          <w:sz w:val="18"/>
          <w:szCs w:val="18"/>
        </w:rPr>
      </w:pPr>
      <w:r w:rsidRPr="00B46B1B">
        <w:rPr>
          <w:rFonts w:eastAsia="Times New Roman" w:cs="Times New Roman"/>
          <w:sz w:val="18"/>
          <w:szCs w:val="18"/>
        </w:rPr>
        <w:t>A detailed description of the education, qualifications, experience, past employment, and performance history of the person who will serve as the Trustees’ primary Investment Advisor (Portfolio Manager). This person is the named representative with whom the Trustees’ will consult on investments, deposits, withdrawals, and future planning.</w:t>
      </w:r>
    </w:p>
    <w:p w14:paraId="22140213" w14:textId="77777777" w:rsidR="00B46B1B" w:rsidRPr="00B46B1B" w:rsidRDefault="00B46B1B" w:rsidP="00B46B1B">
      <w:pPr>
        <w:numPr>
          <w:ilvl w:val="0"/>
          <w:numId w:val="20"/>
        </w:numPr>
        <w:spacing w:after="0"/>
        <w:contextualSpacing/>
        <w:outlineLvl w:val="0"/>
        <w:rPr>
          <w:rFonts w:eastAsia="Times New Roman" w:cs="Times New Roman"/>
          <w:sz w:val="18"/>
          <w:szCs w:val="18"/>
        </w:rPr>
      </w:pPr>
      <w:r w:rsidRPr="00B46B1B">
        <w:rPr>
          <w:rFonts w:eastAsia="Times New Roman" w:cs="Times New Roman"/>
          <w:sz w:val="18"/>
          <w:szCs w:val="18"/>
        </w:rPr>
        <w:t xml:space="preserve">A list of at least 5 municipal or institutional clients of the respondent, providing name, address, and telephone number of a contact person for each client. </w:t>
      </w:r>
    </w:p>
    <w:p w14:paraId="74A04939" w14:textId="77777777" w:rsidR="00B46B1B" w:rsidRPr="00B46B1B" w:rsidRDefault="00B46B1B" w:rsidP="00B46B1B">
      <w:pPr>
        <w:numPr>
          <w:ilvl w:val="0"/>
          <w:numId w:val="20"/>
        </w:numPr>
        <w:spacing w:after="0"/>
        <w:contextualSpacing/>
        <w:outlineLvl w:val="0"/>
        <w:rPr>
          <w:rFonts w:eastAsia="Times New Roman" w:cs="Times New Roman"/>
          <w:sz w:val="18"/>
          <w:szCs w:val="18"/>
        </w:rPr>
      </w:pPr>
      <w:r w:rsidRPr="00B46B1B">
        <w:rPr>
          <w:rFonts w:eastAsia="Times New Roman" w:cs="Times New Roman"/>
          <w:sz w:val="18"/>
          <w:szCs w:val="18"/>
        </w:rPr>
        <w:t>A copy of the firm’s most recent NASSA Form ADV Part 2 submission to the office of the Secretary of State of NH.</w:t>
      </w:r>
    </w:p>
    <w:p w14:paraId="442603FF" w14:textId="77777777" w:rsidR="00B46B1B" w:rsidRPr="00B46B1B" w:rsidRDefault="00B46B1B" w:rsidP="00B46B1B">
      <w:pPr>
        <w:numPr>
          <w:ilvl w:val="0"/>
          <w:numId w:val="20"/>
        </w:numPr>
        <w:spacing w:after="0"/>
        <w:contextualSpacing/>
        <w:outlineLvl w:val="0"/>
        <w:rPr>
          <w:rFonts w:eastAsia="Times New Roman" w:cs="Times New Roman"/>
          <w:sz w:val="18"/>
          <w:szCs w:val="18"/>
        </w:rPr>
      </w:pPr>
      <w:r w:rsidRPr="00B46B1B">
        <w:rPr>
          <w:rFonts w:eastAsia="Times New Roman" w:cs="Times New Roman"/>
          <w:sz w:val="18"/>
          <w:szCs w:val="18"/>
        </w:rPr>
        <w:t>A list of additional references as desired by the respondent.</w:t>
      </w:r>
    </w:p>
    <w:p w14:paraId="017423E2" w14:textId="77777777" w:rsidR="00B46B1B" w:rsidRPr="00B46B1B" w:rsidRDefault="00B46B1B" w:rsidP="00B46B1B">
      <w:pPr>
        <w:numPr>
          <w:ilvl w:val="0"/>
          <w:numId w:val="20"/>
        </w:numPr>
        <w:spacing w:after="0"/>
        <w:contextualSpacing/>
        <w:outlineLvl w:val="0"/>
        <w:rPr>
          <w:rFonts w:eastAsia="Times New Roman" w:cs="Times New Roman"/>
          <w:sz w:val="18"/>
          <w:szCs w:val="18"/>
        </w:rPr>
      </w:pPr>
      <w:r w:rsidRPr="00B46B1B">
        <w:rPr>
          <w:rFonts w:eastAsia="Times New Roman" w:cs="Times New Roman"/>
          <w:sz w:val="18"/>
          <w:szCs w:val="18"/>
        </w:rPr>
        <w:t>An assessment of the Durham Trustee’s current Investment policy and any recommendations for change.</w:t>
      </w:r>
    </w:p>
    <w:p w14:paraId="5F914B33" w14:textId="77777777" w:rsidR="00B46B1B" w:rsidRPr="00B46B1B" w:rsidRDefault="00B46B1B" w:rsidP="00B46B1B">
      <w:pPr>
        <w:numPr>
          <w:ilvl w:val="0"/>
          <w:numId w:val="20"/>
        </w:numPr>
        <w:spacing w:after="0"/>
        <w:contextualSpacing/>
        <w:outlineLvl w:val="0"/>
        <w:rPr>
          <w:rFonts w:eastAsia="Times New Roman" w:cs="Times New Roman"/>
          <w:sz w:val="10"/>
          <w:szCs w:val="10"/>
        </w:rPr>
      </w:pPr>
      <w:r w:rsidRPr="00B46B1B">
        <w:rPr>
          <w:rFonts w:eastAsia="Times New Roman" w:cs="Times New Roman"/>
          <w:sz w:val="18"/>
          <w:szCs w:val="18"/>
        </w:rPr>
        <w:t>A detailed description of the fee structure under which the Investment Advisor’s firm is to be compensated for services. Disclose any forms of direct or indirect compensation which the Investment Advisor might receive in addition to the fees paid by the Trustee’s investment account.</w:t>
      </w:r>
    </w:p>
    <w:p w14:paraId="63FEC2E9" w14:textId="77777777" w:rsidR="00B46B1B" w:rsidRPr="00B46B1B" w:rsidRDefault="00B46B1B" w:rsidP="00B46B1B">
      <w:pPr>
        <w:numPr>
          <w:ilvl w:val="0"/>
          <w:numId w:val="20"/>
        </w:numPr>
        <w:spacing w:after="0"/>
        <w:contextualSpacing/>
        <w:outlineLvl w:val="0"/>
        <w:rPr>
          <w:rFonts w:eastAsia="Times New Roman" w:cs="Times New Roman"/>
          <w:sz w:val="10"/>
          <w:szCs w:val="10"/>
        </w:rPr>
      </w:pPr>
      <w:r w:rsidRPr="00B46B1B">
        <w:rPr>
          <w:rFonts w:eastAsia="Times New Roman" w:cs="Times New Roman"/>
          <w:sz w:val="18"/>
          <w:szCs w:val="18"/>
        </w:rPr>
        <w:t>A detailed description of the manner in which the Investment Advisor will service the Trustees’ accounts. Additionally, the Trustees want to have a quarterly update on the portfolio’s performance in the month following the end of each quarter. This update should be in the form of a printed report illustrated with graphs and charts to clarify and summarize investment performance. A copy of a similar report for another client would be helpful.</w:t>
      </w:r>
    </w:p>
    <w:p w14:paraId="3F8852B7" w14:textId="77777777" w:rsidR="00B46B1B" w:rsidRPr="00665D88" w:rsidRDefault="00B46B1B" w:rsidP="00B46B1B">
      <w:pPr>
        <w:spacing w:after="0"/>
        <w:outlineLvl w:val="0"/>
        <w:rPr>
          <w:rFonts w:eastAsia="Times New Roman" w:cs="Times New Roman"/>
          <w:sz w:val="16"/>
          <w:szCs w:val="16"/>
        </w:rPr>
      </w:pPr>
    </w:p>
    <w:p w14:paraId="6BDA09CC" w14:textId="77777777" w:rsidR="00B46B1B" w:rsidRPr="00B46B1B" w:rsidRDefault="00B46B1B" w:rsidP="00B46B1B">
      <w:pPr>
        <w:spacing w:after="0"/>
        <w:outlineLvl w:val="0"/>
        <w:rPr>
          <w:rFonts w:eastAsia="Times New Roman" w:cs="Times New Roman"/>
        </w:rPr>
      </w:pPr>
      <w:r w:rsidRPr="00B46B1B">
        <w:rPr>
          <w:rFonts w:eastAsia="Times New Roman" w:cs="Times New Roman"/>
        </w:rPr>
        <w:t xml:space="preserve">Respondent: </w:t>
      </w:r>
    </w:p>
    <w:p w14:paraId="26B6D6B7" w14:textId="77777777" w:rsidR="00B46B1B" w:rsidRPr="00B46B1B" w:rsidRDefault="00B46B1B" w:rsidP="00B46B1B">
      <w:pPr>
        <w:spacing w:after="0"/>
        <w:outlineLvl w:val="0"/>
        <w:rPr>
          <w:rFonts w:eastAsia="Times New Roman" w:cs="Times New Roman"/>
        </w:rPr>
      </w:pPr>
    </w:p>
    <w:p w14:paraId="4F57EAD8" w14:textId="77777777" w:rsidR="00B46B1B" w:rsidRPr="00B46B1B" w:rsidRDefault="00B46B1B" w:rsidP="00B46B1B">
      <w:pPr>
        <w:spacing w:after="0"/>
        <w:outlineLvl w:val="0"/>
        <w:rPr>
          <w:rFonts w:eastAsia="Times New Roman" w:cs="Times New Roman"/>
        </w:rPr>
      </w:pPr>
      <w:r w:rsidRPr="00B46B1B">
        <w:rPr>
          <w:rFonts w:eastAsia="Times New Roman" w:cs="Times New Roman"/>
        </w:rPr>
        <w:t xml:space="preserve">1.  Cover Letter:  Initial Grade: </w:t>
      </w:r>
      <w:r w:rsidRPr="00B46B1B">
        <w:rPr>
          <w:rFonts w:eastAsia="Times New Roman" w:cs="Times New Roman"/>
        </w:rPr>
        <w:tab/>
      </w:r>
      <w:r w:rsidRPr="00B46B1B">
        <w:rPr>
          <w:rFonts w:eastAsia="Times New Roman" w:cs="Times New Roman"/>
        </w:rPr>
        <w:tab/>
      </w:r>
      <w:r w:rsidRPr="00B46B1B">
        <w:rPr>
          <w:rFonts w:eastAsia="Times New Roman" w:cs="Times New Roman"/>
        </w:rPr>
        <w:tab/>
        <w:t>Final Grade:</w:t>
      </w:r>
    </w:p>
    <w:p w14:paraId="7AD93B6E" w14:textId="77777777" w:rsidR="00B46B1B" w:rsidRPr="00B46B1B" w:rsidRDefault="00B46B1B" w:rsidP="00B46B1B">
      <w:pPr>
        <w:spacing w:after="0"/>
        <w:outlineLvl w:val="0"/>
        <w:rPr>
          <w:rFonts w:eastAsia="Times New Roman" w:cs="Times New Roman"/>
        </w:rPr>
      </w:pPr>
    </w:p>
    <w:p w14:paraId="7AC9D86E" w14:textId="77777777" w:rsidR="00B46B1B" w:rsidRPr="00B46B1B" w:rsidRDefault="00B46B1B" w:rsidP="00B46B1B">
      <w:pPr>
        <w:spacing w:after="0"/>
        <w:outlineLvl w:val="0"/>
        <w:rPr>
          <w:rFonts w:eastAsia="Times New Roman" w:cs="Times New Roman"/>
        </w:rPr>
      </w:pPr>
    </w:p>
    <w:p w14:paraId="2C80DC56" w14:textId="77777777" w:rsidR="00B46B1B" w:rsidRPr="00B46B1B" w:rsidRDefault="00B46B1B" w:rsidP="00B46B1B">
      <w:pPr>
        <w:spacing w:after="0"/>
        <w:outlineLvl w:val="0"/>
        <w:rPr>
          <w:rFonts w:eastAsia="Times New Roman" w:cs="Times New Roman"/>
        </w:rPr>
      </w:pPr>
      <w:r w:rsidRPr="00B46B1B">
        <w:rPr>
          <w:rFonts w:eastAsia="Times New Roman" w:cs="Times New Roman"/>
        </w:rPr>
        <w:t>2.  Qualifications:  Initial Grade:</w:t>
      </w:r>
      <w:r w:rsidRPr="00B46B1B">
        <w:rPr>
          <w:rFonts w:eastAsia="Times New Roman" w:cs="Times New Roman"/>
        </w:rPr>
        <w:tab/>
        <w:t xml:space="preserve"> </w:t>
      </w:r>
      <w:r w:rsidRPr="00B46B1B">
        <w:rPr>
          <w:rFonts w:eastAsia="Times New Roman" w:cs="Times New Roman"/>
        </w:rPr>
        <w:tab/>
      </w:r>
      <w:r w:rsidRPr="00B46B1B">
        <w:rPr>
          <w:rFonts w:eastAsia="Times New Roman" w:cs="Times New Roman"/>
        </w:rPr>
        <w:tab/>
        <w:t>Final Grade</w:t>
      </w:r>
    </w:p>
    <w:p w14:paraId="6691AA21" w14:textId="77777777" w:rsidR="00B46B1B" w:rsidRPr="00B46B1B" w:rsidRDefault="00B46B1B" w:rsidP="00B46B1B">
      <w:pPr>
        <w:spacing w:after="0"/>
        <w:outlineLvl w:val="0"/>
        <w:rPr>
          <w:rFonts w:eastAsia="Times New Roman" w:cs="Times New Roman"/>
        </w:rPr>
      </w:pPr>
    </w:p>
    <w:p w14:paraId="7D389A7D" w14:textId="77777777" w:rsidR="00B46B1B" w:rsidRPr="00B46B1B" w:rsidRDefault="00B46B1B" w:rsidP="00B46B1B">
      <w:pPr>
        <w:spacing w:after="0"/>
        <w:outlineLvl w:val="0"/>
        <w:rPr>
          <w:rFonts w:eastAsia="Times New Roman" w:cs="Times New Roman"/>
        </w:rPr>
      </w:pPr>
      <w:r w:rsidRPr="00B46B1B">
        <w:rPr>
          <w:rFonts w:eastAsia="Times New Roman" w:cs="Times New Roman"/>
        </w:rPr>
        <w:tab/>
      </w:r>
    </w:p>
    <w:p w14:paraId="7F8B99D4" w14:textId="07AE58D3" w:rsidR="00B46B1B" w:rsidRPr="00B46B1B" w:rsidRDefault="00B46B1B" w:rsidP="00B46B1B">
      <w:pPr>
        <w:spacing w:after="0"/>
        <w:outlineLvl w:val="0"/>
        <w:rPr>
          <w:rFonts w:eastAsia="Times New Roman" w:cs="Times New Roman"/>
        </w:rPr>
      </w:pPr>
      <w:r w:rsidRPr="00B46B1B">
        <w:rPr>
          <w:rFonts w:eastAsia="Times New Roman" w:cs="Times New Roman"/>
        </w:rPr>
        <w:t>3.  Other Municipal Clients</w:t>
      </w:r>
      <w:r w:rsidR="00D92796">
        <w:rPr>
          <w:rFonts w:eastAsia="Times New Roman" w:cs="Times New Roman"/>
        </w:rPr>
        <w:t xml:space="preserve"> </w:t>
      </w:r>
      <w:r w:rsidRPr="00B46B1B">
        <w:rPr>
          <w:rFonts w:eastAsia="Times New Roman" w:cs="Times New Roman"/>
        </w:rPr>
        <w:t>(5):</w:t>
      </w:r>
      <w:r w:rsidRPr="00B46B1B">
        <w:rPr>
          <w:rFonts w:eastAsia="Times New Roman" w:cs="Times New Roman"/>
        </w:rPr>
        <w:tab/>
      </w:r>
      <w:r w:rsidR="00D92796">
        <w:rPr>
          <w:rFonts w:eastAsia="Times New Roman" w:cs="Times New Roman"/>
        </w:rPr>
        <w:t xml:space="preserve"> </w:t>
      </w:r>
      <w:r w:rsidRPr="00B46B1B">
        <w:rPr>
          <w:rFonts w:eastAsia="Times New Roman" w:cs="Times New Roman"/>
        </w:rPr>
        <w:t xml:space="preserve">  Initial Grade:  </w:t>
      </w:r>
      <w:r w:rsidRPr="00B46B1B">
        <w:rPr>
          <w:rFonts w:eastAsia="Times New Roman" w:cs="Times New Roman"/>
        </w:rPr>
        <w:tab/>
      </w:r>
      <w:r w:rsidRPr="00B46B1B">
        <w:rPr>
          <w:rFonts w:eastAsia="Times New Roman" w:cs="Times New Roman"/>
        </w:rPr>
        <w:tab/>
      </w:r>
      <w:r w:rsidRPr="00B46B1B">
        <w:rPr>
          <w:rFonts w:eastAsia="Times New Roman" w:cs="Times New Roman"/>
        </w:rPr>
        <w:tab/>
        <w:t>Final Grade</w:t>
      </w:r>
    </w:p>
    <w:p w14:paraId="299953ED" w14:textId="77777777" w:rsidR="00B46B1B" w:rsidRPr="00B46B1B" w:rsidRDefault="00B46B1B" w:rsidP="00B46B1B">
      <w:pPr>
        <w:spacing w:after="0"/>
        <w:outlineLvl w:val="0"/>
        <w:rPr>
          <w:rFonts w:eastAsia="Times New Roman" w:cs="Times New Roman"/>
        </w:rPr>
      </w:pPr>
    </w:p>
    <w:p w14:paraId="7A3572F3" w14:textId="77777777" w:rsidR="00B46B1B" w:rsidRPr="00B46B1B" w:rsidRDefault="00B46B1B" w:rsidP="00B46B1B">
      <w:pPr>
        <w:spacing w:after="0"/>
        <w:outlineLvl w:val="0"/>
        <w:rPr>
          <w:rFonts w:eastAsia="Times New Roman" w:cs="Times New Roman"/>
        </w:rPr>
      </w:pPr>
    </w:p>
    <w:p w14:paraId="6F87DBE5" w14:textId="77777777" w:rsidR="00B46B1B" w:rsidRPr="00B46B1B" w:rsidRDefault="00B46B1B" w:rsidP="00B46B1B">
      <w:pPr>
        <w:spacing w:after="0"/>
        <w:outlineLvl w:val="0"/>
        <w:rPr>
          <w:rFonts w:eastAsia="Times New Roman" w:cs="Times New Roman"/>
        </w:rPr>
      </w:pPr>
      <w:r w:rsidRPr="00B46B1B">
        <w:rPr>
          <w:rFonts w:eastAsia="Times New Roman" w:cs="Times New Roman"/>
        </w:rPr>
        <w:t xml:space="preserve">4.  NSSA Form:    Initial Grade:  </w:t>
      </w:r>
      <w:r w:rsidRPr="00B46B1B">
        <w:rPr>
          <w:rFonts w:eastAsia="Times New Roman" w:cs="Times New Roman"/>
        </w:rPr>
        <w:tab/>
      </w:r>
      <w:r w:rsidRPr="00B46B1B">
        <w:rPr>
          <w:rFonts w:eastAsia="Times New Roman" w:cs="Times New Roman"/>
        </w:rPr>
        <w:tab/>
        <w:t xml:space="preserve"> </w:t>
      </w:r>
      <w:r w:rsidRPr="00B46B1B">
        <w:rPr>
          <w:rFonts w:eastAsia="Times New Roman" w:cs="Times New Roman"/>
        </w:rPr>
        <w:tab/>
        <w:t xml:space="preserve">   Final Grade</w:t>
      </w:r>
    </w:p>
    <w:p w14:paraId="4A0BD7B4" w14:textId="77777777" w:rsidR="00B46B1B" w:rsidRPr="00B46B1B" w:rsidRDefault="00B46B1B" w:rsidP="00B46B1B">
      <w:pPr>
        <w:spacing w:after="0"/>
        <w:outlineLvl w:val="0"/>
        <w:rPr>
          <w:rFonts w:eastAsia="Times New Roman" w:cs="Times New Roman"/>
        </w:rPr>
      </w:pPr>
    </w:p>
    <w:p w14:paraId="435EE371" w14:textId="77777777" w:rsidR="00B46B1B" w:rsidRPr="00B46B1B" w:rsidRDefault="00B46B1B" w:rsidP="00B46B1B">
      <w:pPr>
        <w:spacing w:after="0"/>
        <w:outlineLvl w:val="0"/>
        <w:rPr>
          <w:rFonts w:eastAsia="Times New Roman" w:cs="Times New Roman"/>
        </w:rPr>
      </w:pPr>
    </w:p>
    <w:p w14:paraId="2A4831BB" w14:textId="58A26847" w:rsidR="00B46B1B" w:rsidRPr="00B46B1B" w:rsidRDefault="00B46B1B" w:rsidP="00B46B1B">
      <w:pPr>
        <w:spacing w:after="0"/>
        <w:outlineLvl w:val="0"/>
        <w:rPr>
          <w:rFonts w:eastAsia="Times New Roman" w:cs="Times New Roman"/>
        </w:rPr>
      </w:pPr>
      <w:r w:rsidRPr="00B46B1B">
        <w:rPr>
          <w:rFonts w:eastAsia="Times New Roman" w:cs="Times New Roman"/>
        </w:rPr>
        <w:t>5.  Additional References:</w:t>
      </w:r>
      <w:r w:rsidR="00D92796">
        <w:rPr>
          <w:rFonts w:eastAsia="Times New Roman" w:cs="Times New Roman"/>
        </w:rPr>
        <w:tab/>
      </w:r>
      <w:r w:rsidRPr="00B46B1B">
        <w:rPr>
          <w:rFonts w:eastAsia="Times New Roman" w:cs="Times New Roman"/>
        </w:rPr>
        <w:t xml:space="preserve"> Initial Grade:  </w:t>
      </w:r>
      <w:r w:rsidRPr="00B46B1B">
        <w:rPr>
          <w:rFonts w:eastAsia="Times New Roman" w:cs="Times New Roman"/>
        </w:rPr>
        <w:tab/>
      </w:r>
      <w:r w:rsidRPr="00B46B1B">
        <w:rPr>
          <w:rFonts w:eastAsia="Times New Roman" w:cs="Times New Roman"/>
        </w:rPr>
        <w:tab/>
      </w:r>
      <w:r w:rsidRPr="00B46B1B">
        <w:rPr>
          <w:rFonts w:eastAsia="Times New Roman" w:cs="Times New Roman"/>
        </w:rPr>
        <w:tab/>
        <w:t>Final Grade</w:t>
      </w:r>
    </w:p>
    <w:p w14:paraId="2EA897F2" w14:textId="77777777" w:rsidR="00B46B1B" w:rsidRPr="00B46B1B" w:rsidRDefault="00B46B1B" w:rsidP="00B46B1B">
      <w:pPr>
        <w:spacing w:after="0"/>
        <w:outlineLvl w:val="0"/>
        <w:rPr>
          <w:rFonts w:eastAsia="Times New Roman" w:cs="Times New Roman"/>
        </w:rPr>
      </w:pPr>
    </w:p>
    <w:p w14:paraId="14D9DD8F" w14:textId="77777777" w:rsidR="00B46B1B" w:rsidRPr="00B46B1B" w:rsidRDefault="00B46B1B" w:rsidP="00B46B1B">
      <w:pPr>
        <w:spacing w:after="0"/>
        <w:outlineLvl w:val="0"/>
        <w:rPr>
          <w:rFonts w:eastAsia="Times New Roman" w:cs="Times New Roman"/>
        </w:rPr>
      </w:pPr>
    </w:p>
    <w:p w14:paraId="051564BC" w14:textId="77777777" w:rsidR="00B46B1B" w:rsidRPr="00B46B1B" w:rsidRDefault="00B46B1B" w:rsidP="00B46B1B">
      <w:pPr>
        <w:spacing w:after="0"/>
        <w:outlineLvl w:val="0"/>
        <w:rPr>
          <w:rFonts w:eastAsia="Times New Roman" w:cs="Times New Roman"/>
        </w:rPr>
      </w:pPr>
      <w:r w:rsidRPr="00B46B1B">
        <w:rPr>
          <w:rFonts w:eastAsia="Times New Roman" w:cs="Times New Roman"/>
        </w:rPr>
        <w:t xml:space="preserve">6.  Assessment of Current Policy:  </w:t>
      </w:r>
      <w:r w:rsidRPr="00B46B1B">
        <w:rPr>
          <w:rFonts w:eastAsia="Times New Roman" w:cs="Times New Roman"/>
        </w:rPr>
        <w:tab/>
        <w:t xml:space="preserve">Initial Grade:    </w:t>
      </w:r>
      <w:r w:rsidRPr="00B46B1B">
        <w:rPr>
          <w:rFonts w:eastAsia="Times New Roman" w:cs="Times New Roman"/>
        </w:rPr>
        <w:tab/>
      </w:r>
      <w:r w:rsidRPr="00B46B1B">
        <w:rPr>
          <w:rFonts w:eastAsia="Times New Roman" w:cs="Times New Roman"/>
        </w:rPr>
        <w:tab/>
      </w:r>
      <w:r w:rsidRPr="00B46B1B">
        <w:rPr>
          <w:rFonts w:eastAsia="Times New Roman" w:cs="Times New Roman"/>
        </w:rPr>
        <w:tab/>
        <w:t>Final Grade</w:t>
      </w:r>
    </w:p>
    <w:p w14:paraId="20C6331A" w14:textId="77777777" w:rsidR="00B46B1B" w:rsidRPr="00B46B1B" w:rsidRDefault="00B46B1B" w:rsidP="00B46B1B">
      <w:pPr>
        <w:spacing w:after="0"/>
        <w:outlineLvl w:val="0"/>
        <w:rPr>
          <w:rFonts w:eastAsia="Times New Roman" w:cs="Times New Roman"/>
        </w:rPr>
      </w:pPr>
      <w:r w:rsidRPr="00B46B1B">
        <w:rPr>
          <w:rFonts w:eastAsia="Times New Roman" w:cs="Times New Roman"/>
        </w:rPr>
        <w:t xml:space="preserve">. </w:t>
      </w:r>
    </w:p>
    <w:p w14:paraId="6EA325C3" w14:textId="77777777" w:rsidR="00B46B1B" w:rsidRPr="00B46B1B" w:rsidRDefault="00B46B1B" w:rsidP="00B46B1B">
      <w:pPr>
        <w:spacing w:after="0"/>
        <w:outlineLvl w:val="0"/>
        <w:rPr>
          <w:rFonts w:eastAsia="Times New Roman" w:cs="Times New Roman"/>
        </w:rPr>
      </w:pPr>
    </w:p>
    <w:p w14:paraId="03ECA853" w14:textId="77777777" w:rsidR="00B46B1B" w:rsidRPr="00B46B1B" w:rsidRDefault="00B46B1B" w:rsidP="00B46B1B">
      <w:pPr>
        <w:spacing w:after="0"/>
        <w:outlineLvl w:val="0"/>
        <w:rPr>
          <w:rFonts w:eastAsia="Times New Roman" w:cs="Times New Roman"/>
        </w:rPr>
      </w:pPr>
      <w:r w:rsidRPr="00B46B1B">
        <w:rPr>
          <w:rFonts w:eastAsia="Times New Roman" w:cs="Times New Roman"/>
        </w:rPr>
        <w:t>7.  Fee Structure:</w:t>
      </w:r>
      <w:r w:rsidRPr="00B46B1B">
        <w:rPr>
          <w:rFonts w:eastAsia="Times New Roman" w:cs="Times New Roman"/>
        </w:rPr>
        <w:tab/>
        <w:t xml:space="preserve"> Initial Grade:  </w:t>
      </w:r>
      <w:r w:rsidRPr="00B46B1B">
        <w:rPr>
          <w:rFonts w:eastAsia="Times New Roman" w:cs="Times New Roman"/>
          <w:bCs/>
        </w:rPr>
        <w:tab/>
      </w:r>
      <w:r w:rsidRPr="00B46B1B">
        <w:rPr>
          <w:rFonts w:eastAsia="Times New Roman" w:cs="Times New Roman"/>
          <w:bCs/>
        </w:rPr>
        <w:tab/>
      </w:r>
      <w:r w:rsidRPr="00B46B1B">
        <w:rPr>
          <w:rFonts w:eastAsia="Times New Roman" w:cs="Times New Roman"/>
        </w:rPr>
        <w:tab/>
        <w:t>Final Grade</w:t>
      </w:r>
    </w:p>
    <w:p w14:paraId="29021CA5" w14:textId="77777777" w:rsidR="00B46B1B" w:rsidRPr="00B46B1B" w:rsidRDefault="00B46B1B" w:rsidP="00B46B1B">
      <w:pPr>
        <w:spacing w:after="0"/>
        <w:outlineLvl w:val="0"/>
        <w:rPr>
          <w:rFonts w:eastAsia="Times New Roman" w:cs="Times New Roman"/>
        </w:rPr>
      </w:pPr>
    </w:p>
    <w:p w14:paraId="5111AB06" w14:textId="77777777" w:rsidR="00B46B1B" w:rsidRPr="00B46B1B" w:rsidRDefault="00B46B1B" w:rsidP="00B46B1B">
      <w:pPr>
        <w:spacing w:after="0"/>
        <w:outlineLvl w:val="0"/>
        <w:rPr>
          <w:rFonts w:eastAsia="Times New Roman" w:cs="Times New Roman"/>
        </w:rPr>
      </w:pPr>
    </w:p>
    <w:p w14:paraId="2DDAF127" w14:textId="77777777" w:rsidR="00B46B1B" w:rsidRPr="00B46B1B" w:rsidRDefault="00B46B1B" w:rsidP="00B46B1B">
      <w:pPr>
        <w:spacing w:after="0"/>
        <w:outlineLvl w:val="0"/>
        <w:rPr>
          <w:rFonts w:eastAsia="Times New Roman" w:cs="Times New Roman"/>
        </w:rPr>
      </w:pPr>
      <w:r w:rsidRPr="00B46B1B">
        <w:rPr>
          <w:rFonts w:eastAsia="Times New Roman" w:cs="Times New Roman"/>
        </w:rPr>
        <w:t xml:space="preserve">8.   Approach: </w:t>
      </w:r>
      <w:r w:rsidRPr="00B46B1B">
        <w:rPr>
          <w:rFonts w:eastAsia="Times New Roman" w:cs="Times New Roman"/>
        </w:rPr>
        <w:tab/>
        <w:t xml:space="preserve"> Initial Grade</w:t>
      </w:r>
      <w:r w:rsidRPr="00B46B1B">
        <w:rPr>
          <w:rFonts w:eastAsia="Times New Roman" w:cs="Times New Roman"/>
        </w:rPr>
        <w:tab/>
      </w:r>
      <w:r w:rsidRPr="00B46B1B">
        <w:rPr>
          <w:rFonts w:eastAsia="Times New Roman" w:cs="Times New Roman"/>
        </w:rPr>
        <w:tab/>
      </w:r>
      <w:r w:rsidRPr="00B46B1B">
        <w:rPr>
          <w:rFonts w:eastAsia="Times New Roman" w:cs="Times New Roman"/>
        </w:rPr>
        <w:tab/>
        <w:t>Final Grade</w:t>
      </w:r>
    </w:p>
    <w:p w14:paraId="43623531" w14:textId="77777777" w:rsidR="00B46B1B" w:rsidRPr="00B46B1B" w:rsidRDefault="00B46B1B" w:rsidP="00B46B1B">
      <w:pPr>
        <w:spacing w:after="0"/>
        <w:outlineLvl w:val="0"/>
        <w:rPr>
          <w:rFonts w:eastAsia="Times New Roman" w:cs="Times New Roman"/>
        </w:rPr>
      </w:pPr>
    </w:p>
    <w:p w14:paraId="299F7257" w14:textId="77777777" w:rsidR="00B46B1B" w:rsidRPr="00B46B1B" w:rsidRDefault="00B46B1B" w:rsidP="00B46B1B">
      <w:pPr>
        <w:spacing w:after="0"/>
        <w:outlineLvl w:val="0"/>
        <w:rPr>
          <w:rFonts w:eastAsia="Times New Roman" w:cs="Times New Roman"/>
        </w:rPr>
      </w:pPr>
      <w:r w:rsidRPr="00B46B1B">
        <w:rPr>
          <w:rFonts w:eastAsia="Times New Roman" w:cs="Times New Roman"/>
        </w:rPr>
        <w:t xml:space="preserve">Reporting: </w:t>
      </w:r>
    </w:p>
    <w:p w14:paraId="64F24FC4" w14:textId="77777777" w:rsidR="00B46B1B" w:rsidRPr="00B46B1B" w:rsidRDefault="00B46B1B" w:rsidP="00B46B1B">
      <w:pPr>
        <w:spacing w:after="0"/>
        <w:outlineLvl w:val="0"/>
        <w:rPr>
          <w:rFonts w:eastAsia="Times New Roman" w:cs="Times New Roman"/>
        </w:rPr>
      </w:pPr>
    </w:p>
    <w:p w14:paraId="04325294" w14:textId="65E57099" w:rsidR="005A629D" w:rsidRDefault="00B46B1B" w:rsidP="00665D88">
      <w:pPr>
        <w:spacing w:after="0"/>
        <w:outlineLvl w:val="0"/>
      </w:pPr>
      <w:r w:rsidRPr="00B46B1B">
        <w:rPr>
          <w:rFonts w:eastAsia="Times New Roman" w:cs="Times New Roman"/>
        </w:rPr>
        <w:t xml:space="preserve">General Comments </w:t>
      </w:r>
    </w:p>
    <w:sectPr w:rsidR="005A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6E9"/>
    <w:multiLevelType w:val="hybridMultilevel"/>
    <w:tmpl w:val="AEDCD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785EFB"/>
    <w:multiLevelType w:val="hybridMultilevel"/>
    <w:tmpl w:val="15D04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6B5AD8"/>
    <w:multiLevelType w:val="hybridMultilevel"/>
    <w:tmpl w:val="F5A8F278"/>
    <w:lvl w:ilvl="0" w:tplc="1C7C2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0A3CCB"/>
    <w:multiLevelType w:val="hybridMultilevel"/>
    <w:tmpl w:val="C150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1086F"/>
    <w:multiLevelType w:val="hybridMultilevel"/>
    <w:tmpl w:val="21AE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26CAF"/>
    <w:multiLevelType w:val="hybridMultilevel"/>
    <w:tmpl w:val="0E4E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25005"/>
    <w:multiLevelType w:val="hybridMultilevel"/>
    <w:tmpl w:val="1D2ECC1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3216A1"/>
    <w:multiLevelType w:val="hybridMultilevel"/>
    <w:tmpl w:val="BC72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B09D3"/>
    <w:multiLevelType w:val="hybridMultilevel"/>
    <w:tmpl w:val="C150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F1EEE"/>
    <w:multiLevelType w:val="hybridMultilevel"/>
    <w:tmpl w:val="9DCC0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B51589"/>
    <w:multiLevelType w:val="hybridMultilevel"/>
    <w:tmpl w:val="C548D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D42E9D"/>
    <w:multiLevelType w:val="hybridMultilevel"/>
    <w:tmpl w:val="BC720A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9F54D6"/>
    <w:multiLevelType w:val="hybridMultilevel"/>
    <w:tmpl w:val="48BEE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728FA"/>
    <w:multiLevelType w:val="hybridMultilevel"/>
    <w:tmpl w:val="763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614D7"/>
    <w:multiLevelType w:val="hybridMultilevel"/>
    <w:tmpl w:val="AAC839C0"/>
    <w:lvl w:ilvl="0" w:tplc="680AB80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A7EC0"/>
    <w:multiLevelType w:val="hybridMultilevel"/>
    <w:tmpl w:val="B828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52A6F"/>
    <w:multiLevelType w:val="hybridMultilevel"/>
    <w:tmpl w:val="AEDCD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F6087"/>
    <w:multiLevelType w:val="hybridMultilevel"/>
    <w:tmpl w:val="AFE44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76D80"/>
    <w:multiLevelType w:val="hybridMultilevel"/>
    <w:tmpl w:val="3F0E73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DF574C4"/>
    <w:multiLevelType w:val="hybridMultilevel"/>
    <w:tmpl w:val="9DCC0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3"/>
  </w:num>
  <w:num w:numId="4">
    <w:abstractNumId w:val="1"/>
  </w:num>
  <w:num w:numId="5">
    <w:abstractNumId w:val="0"/>
  </w:num>
  <w:num w:numId="6">
    <w:abstractNumId w:val="18"/>
  </w:num>
  <w:num w:numId="7">
    <w:abstractNumId w:val="16"/>
  </w:num>
  <w:num w:numId="8">
    <w:abstractNumId w:val="4"/>
  </w:num>
  <w:num w:numId="9">
    <w:abstractNumId w:val="9"/>
  </w:num>
  <w:num w:numId="10">
    <w:abstractNumId w:val="6"/>
  </w:num>
  <w:num w:numId="11">
    <w:abstractNumId w:val="14"/>
  </w:num>
  <w:num w:numId="12">
    <w:abstractNumId w:val="19"/>
  </w:num>
  <w:num w:numId="13">
    <w:abstractNumId w:val="10"/>
  </w:num>
  <w:num w:numId="14">
    <w:abstractNumId w:val="8"/>
  </w:num>
  <w:num w:numId="15">
    <w:abstractNumId w:val="17"/>
  </w:num>
  <w:num w:numId="16">
    <w:abstractNumId w:val="12"/>
  </w:num>
  <w:num w:numId="17">
    <w:abstractNumId w:val="5"/>
  </w:num>
  <w:num w:numId="18">
    <w:abstractNumId w:val="1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68"/>
    <w:rsid w:val="001028A0"/>
    <w:rsid w:val="001A463D"/>
    <w:rsid w:val="001A4CB5"/>
    <w:rsid w:val="001D0FFB"/>
    <w:rsid w:val="001D6BB5"/>
    <w:rsid w:val="002136DC"/>
    <w:rsid w:val="00241B4A"/>
    <w:rsid w:val="0031786B"/>
    <w:rsid w:val="003C16FD"/>
    <w:rsid w:val="003C7E7C"/>
    <w:rsid w:val="004C1980"/>
    <w:rsid w:val="004D109A"/>
    <w:rsid w:val="004F0A55"/>
    <w:rsid w:val="00507886"/>
    <w:rsid w:val="00544790"/>
    <w:rsid w:val="005A629D"/>
    <w:rsid w:val="0064046A"/>
    <w:rsid w:val="00665D88"/>
    <w:rsid w:val="007041B4"/>
    <w:rsid w:val="007243DF"/>
    <w:rsid w:val="00771ED4"/>
    <w:rsid w:val="007811B6"/>
    <w:rsid w:val="007A0E58"/>
    <w:rsid w:val="007B28C2"/>
    <w:rsid w:val="007C2DFA"/>
    <w:rsid w:val="00820478"/>
    <w:rsid w:val="00826277"/>
    <w:rsid w:val="00880E29"/>
    <w:rsid w:val="00951700"/>
    <w:rsid w:val="0096034E"/>
    <w:rsid w:val="00A15698"/>
    <w:rsid w:val="00A66869"/>
    <w:rsid w:val="00AE1981"/>
    <w:rsid w:val="00B07ED7"/>
    <w:rsid w:val="00B463CD"/>
    <w:rsid w:val="00B46B1B"/>
    <w:rsid w:val="00B70F5D"/>
    <w:rsid w:val="00BA2DE5"/>
    <w:rsid w:val="00D13E9B"/>
    <w:rsid w:val="00D92796"/>
    <w:rsid w:val="00DB0D47"/>
    <w:rsid w:val="00DC1BCD"/>
    <w:rsid w:val="00DC2968"/>
    <w:rsid w:val="00DE2B81"/>
    <w:rsid w:val="00DF0AEF"/>
    <w:rsid w:val="00E530F8"/>
    <w:rsid w:val="00F02394"/>
    <w:rsid w:val="00F43A38"/>
    <w:rsid w:val="00F51811"/>
    <w:rsid w:val="00F84B9D"/>
    <w:rsid w:val="00FC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20DE"/>
  <w15:chartTrackingRefBased/>
  <w15:docId w15:val="{61ACB4B1-655F-4AAE-9FB4-B5C86828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277"/>
    <w:pPr>
      <w:ind w:left="720"/>
      <w:contextualSpacing/>
    </w:pPr>
  </w:style>
  <w:style w:type="character" w:styleId="Hyperlink">
    <w:name w:val="Hyperlink"/>
    <w:basedOn w:val="DefaultParagraphFont"/>
    <w:uiPriority w:val="99"/>
    <w:unhideWhenUsed/>
    <w:rsid w:val="00F43A38"/>
    <w:rPr>
      <w:color w:val="0000FF"/>
      <w:u w:val="single"/>
    </w:rPr>
  </w:style>
  <w:style w:type="paragraph" w:styleId="Header">
    <w:name w:val="header"/>
    <w:basedOn w:val="Normal"/>
    <w:link w:val="HeaderChar"/>
    <w:uiPriority w:val="99"/>
    <w:unhideWhenUsed/>
    <w:rsid w:val="00F43A38"/>
    <w:pPr>
      <w:tabs>
        <w:tab w:val="center" w:pos="4680"/>
        <w:tab w:val="right" w:pos="9360"/>
      </w:tabs>
      <w:spacing w:after="0"/>
    </w:pPr>
    <w:rPr>
      <w:rFonts w:ascii="Times New Roman" w:hAnsi="Times New Roman" w:cs="Times New Roman"/>
      <w:sz w:val="24"/>
      <w:szCs w:val="24"/>
    </w:rPr>
  </w:style>
  <w:style w:type="character" w:customStyle="1" w:styleId="HeaderChar">
    <w:name w:val="Header Char"/>
    <w:basedOn w:val="DefaultParagraphFont"/>
    <w:link w:val="Header"/>
    <w:uiPriority w:val="99"/>
    <w:rsid w:val="00F43A38"/>
    <w:rPr>
      <w:rFonts w:ascii="Times New Roman" w:hAnsi="Times New Roman" w:cs="Times New Roman"/>
      <w:sz w:val="24"/>
      <w:szCs w:val="24"/>
    </w:rPr>
  </w:style>
  <w:style w:type="paragraph" w:styleId="EnvelopeReturn">
    <w:name w:val="envelope return"/>
    <w:basedOn w:val="Normal"/>
    <w:rsid w:val="00F43A38"/>
    <w:pPr>
      <w:spacing w:after="0"/>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B28C2"/>
    <w:rPr>
      <w:color w:val="605E5C"/>
      <w:shd w:val="clear" w:color="auto" w:fill="E1DFDD"/>
    </w:rPr>
  </w:style>
  <w:style w:type="paragraph" w:styleId="Revision">
    <w:name w:val="Revision"/>
    <w:hidden/>
    <w:uiPriority w:val="99"/>
    <w:semiHidden/>
    <w:rsid w:val="00241B4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everngam@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durham.nh.u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j.nh.gov/charitable-trusts/municipal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Everngam</dc:creator>
  <cp:keywords/>
  <dc:description/>
  <cp:lastModifiedBy>MEverngam</cp:lastModifiedBy>
  <cp:revision>8</cp:revision>
  <dcterms:created xsi:type="dcterms:W3CDTF">2022-04-17T16:12:00Z</dcterms:created>
  <dcterms:modified xsi:type="dcterms:W3CDTF">2022-04-18T12:54:00Z</dcterms:modified>
</cp:coreProperties>
</file>